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11" w:rsidRPr="0069388D" w:rsidRDefault="00DF4011" w:rsidP="00DF4011">
      <w:pPr>
        <w:shd w:val="clear" w:color="auto" w:fill="A3D4C5"/>
        <w:spacing w:before="225" w:line="240" w:lineRule="auto"/>
        <w:outlineLvl w:val="0"/>
        <w:rPr>
          <w:rFonts w:ascii="inherit" w:eastAsia="Times New Roman" w:hAnsi="inherit" w:cs="Helvetica"/>
          <w:color w:val="3B3B3B"/>
          <w:kern w:val="36"/>
          <w:sz w:val="45"/>
          <w:szCs w:val="45"/>
          <w:lang w:eastAsia="en-IN"/>
        </w:rPr>
      </w:pPr>
      <w:r>
        <w:rPr>
          <w:rFonts w:ascii="inherit" w:eastAsia="Times New Roman" w:hAnsi="inherit" w:cs="Helvetica"/>
          <w:color w:val="3B3B3B"/>
          <w:kern w:val="36"/>
          <w:sz w:val="45"/>
          <w:szCs w:val="45"/>
          <w:lang w:eastAsia="en-IN"/>
        </w:rPr>
        <w:t>AMINOPHYLLINE TABLETS BP</w:t>
      </w:r>
    </w:p>
    <w:p w:rsidR="00DF4011" w:rsidRPr="0069388D" w:rsidRDefault="00DF4011" w:rsidP="00DF4011">
      <w:pPr>
        <w:shd w:val="clear" w:color="auto" w:fill="FFFFFF"/>
        <w:spacing w:after="0" w:line="240" w:lineRule="auto"/>
        <w:rPr>
          <w:rFonts w:ascii="Helvetica" w:eastAsia="Times New Roman" w:hAnsi="Helvetica" w:cs="Helvetica"/>
          <w:color w:val="000000"/>
          <w:sz w:val="21"/>
          <w:szCs w:val="21"/>
          <w:lang w:eastAsia="en-IN"/>
        </w:rPr>
      </w:pPr>
      <w:hyperlink r:id="rId4" w:history="1">
        <w:r w:rsidRPr="0069388D">
          <w:rPr>
            <w:rFonts w:ascii="Helvetica" w:eastAsia="Times New Roman" w:hAnsi="Helvetica" w:cs="Helvetica"/>
            <w:color w:val="FFFFFF"/>
            <w:sz w:val="17"/>
            <w:szCs w:val="17"/>
            <w:shd w:val="clear" w:color="auto" w:fill="117733"/>
            <w:lang w:eastAsia="en-IN"/>
          </w:rPr>
          <w:t>Back to top</w:t>
        </w:r>
      </w:hyperlink>
    </w:p>
    <w:p w:rsidR="00DF4011" w:rsidRDefault="00DF4011" w:rsidP="00DF4011">
      <w:pPr>
        <w:spacing w:after="150" w:line="240" w:lineRule="auto"/>
        <w:rPr>
          <w:rFonts w:ascii="inherit" w:eastAsia="Times New Roman" w:hAnsi="inherit" w:cs="Helvetica"/>
          <w:color w:val="42554F"/>
          <w:sz w:val="25"/>
          <w:szCs w:val="25"/>
          <w:lang w:eastAsia="en-IN"/>
        </w:rPr>
      </w:pPr>
    </w:p>
    <w:p w:rsidR="00DF4011" w:rsidRPr="0069388D" w:rsidRDefault="00DF4011" w:rsidP="00DF4011">
      <w:pPr>
        <w:spacing w:after="150" w:line="240" w:lineRule="auto"/>
        <w:rPr>
          <w:rFonts w:ascii="Arial" w:eastAsia="Times New Roman" w:hAnsi="Arial" w:cs="Arial"/>
          <w:b/>
          <w:bCs/>
          <w:color w:val="397360"/>
          <w:sz w:val="23"/>
          <w:szCs w:val="23"/>
          <w:lang w:eastAsia="en-IN"/>
        </w:rPr>
      </w:pPr>
      <w:r w:rsidRPr="0069388D">
        <w:rPr>
          <w:rFonts w:ascii="Arial" w:eastAsia="Times New Roman" w:hAnsi="Arial" w:cs="Arial"/>
          <w:b/>
          <w:bCs/>
          <w:color w:val="397360"/>
          <w:sz w:val="23"/>
          <w:szCs w:val="23"/>
          <w:lang w:eastAsia="en-IN"/>
        </w:rPr>
        <w:t>1. Name of the medicinal product</w:t>
      </w:r>
    </w:p>
    <w:p w:rsidR="00DF4011" w:rsidRPr="0069388D" w:rsidRDefault="00DF4011" w:rsidP="00DF4011">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Aminophylline Tablets BP.</w:t>
      </w:r>
    </w:p>
    <w:p w:rsidR="00DF4011" w:rsidRPr="0069388D" w:rsidRDefault="00DF4011" w:rsidP="00DF4011">
      <w:pPr>
        <w:spacing w:after="150" w:line="240" w:lineRule="auto"/>
        <w:rPr>
          <w:rFonts w:ascii="Arial" w:eastAsia="Times New Roman" w:hAnsi="Arial" w:cs="Arial"/>
          <w:b/>
          <w:bCs/>
          <w:color w:val="397360"/>
          <w:sz w:val="23"/>
          <w:szCs w:val="23"/>
          <w:lang w:eastAsia="en-IN"/>
        </w:rPr>
      </w:pPr>
      <w:r w:rsidRPr="0069388D">
        <w:rPr>
          <w:rFonts w:ascii="Arial" w:eastAsia="Times New Roman" w:hAnsi="Arial" w:cs="Arial"/>
          <w:b/>
          <w:bCs/>
          <w:color w:val="397360"/>
          <w:sz w:val="23"/>
          <w:szCs w:val="23"/>
          <w:lang w:eastAsia="en-IN"/>
        </w:rPr>
        <w:t>2. Qualitative and quantitative composition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Each tablet contains aminophylline </w:t>
      </w:r>
      <w:r>
        <w:rPr>
          <w:rFonts w:ascii="Arial" w:eastAsia="Times New Roman" w:hAnsi="Arial" w:cs="Arial"/>
          <w:color w:val="000000"/>
          <w:sz w:val="19"/>
          <w:szCs w:val="19"/>
          <w:lang w:eastAsia="en-IN"/>
        </w:rPr>
        <w:t>anhydrous 100 mg.</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For the full list of excipients, see 6.1.</w:t>
      </w:r>
    </w:p>
    <w:p w:rsidR="00DF4011" w:rsidRPr="0069388D" w:rsidRDefault="00DF4011" w:rsidP="00DF4011">
      <w:pPr>
        <w:spacing w:after="150" w:line="240" w:lineRule="auto"/>
        <w:rPr>
          <w:rFonts w:ascii="Arial" w:eastAsia="Times New Roman" w:hAnsi="Arial" w:cs="Arial"/>
          <w:b/>
          <w:bCs/>
          <w:color w:val="397360"/>
          <w:sz w:val="23"/>
          <w:szCs w:val="23"/>
          <w:lang w:eastAsia="en-IN"/>
        </w:rPr>
      </w:pPr>
      <w:r w:rsidRPr="0069388D">
        <w:rPr>
          <w:rFonts w:ascii="Arial" w:eastAsia="Times New Roman" w:hAnsi="Arial" w:cs="Arial"/>
          <w:b/>
          <w:bCs/>
          <w:color w:val="397360"/>
          <w:sz w:val="23"/>
          <w:szCs w:val="23"/>
          <w:lang w:eastAsia="en-IN"/>
        </w:rPr>
        <w:t>3. Pharmaceutical form</w:t>
      </w:r>
    </w:p>
    <w:p w:rsidR="00DF4011" w:rsidRPr="0069388D" w:rsidRDefault="00DF4011" w:rsidP="00DF4011">
      <w:pPr>
        <w:spacing w:after="143" w:line="240" w:lineRule="auto"/>
        <w:rPr>
          <w:rFonts w:ascii="Arial" w:eastAsia="Times New Roman" w:hAnsi="Arial" w:cs="Arial"/>
          <w:color w:val="000000"/>
          <w:sz w:val="19"/>
          <w:szCs w:val="19"/>
          <w:lang w:eastAsia="en-IN"/>
        </w:rPr>
      </w:pPr>
      <w:proofErr w:type="gramStart"/>
      <w:r>
        <w:rPr>
          <w:rFonts w:ascii="Arial" w:eastAsia="Times New Roman" w:hAnsi="Arial" w:cs="Arial"/>
          <w:color w:val="000000"/>
          <w:sz w:val="19"/>
          <w:szCs w:val="19"/>
          <w:lang w:eastAsia="en-IN"/>
        </w:rPr>
        <w:t>Aminophylline  tablets</w:t>
      </w:r>
      <w:proofErr w:type="gramEnd"/>
      <w:r>
        <w:rPr>
          <w:rFonts w:ascii="Arial" w:eastAsia="Times New Roman" w:hAnsi="Arial" w:cs="Arial"/>
          <w:color w:val="000000"/>
          <w:sz w:val="19"/>
          <w:szCs w:val="19"/>
          <w:lang w:eastAsia="en-IN"/>
        </w:rPr>
        <w:t xml:space="preserve"> </w:t>
      </w:r>
      <w:r w:rsidRPr="0069388D">
        <w:rPr>
          <w:rFonts w:ascii="Arial" w:eastAsia="Times New Roman" w:hAnsi="Arial" w:cs="Arial"/>
          <w:color w:val="000000"/>
          <w:sz w:val="19"/>
          <w:szCs w:val="19"/>
          <w:lang w:eastAsia="en-IN"/>
        </w:rPr>
        <w:t xml:space="preserve"> mg are pale yellow, round </w:t>
      </w:r>
      <w:r>
        <w:rPr>
          <w:rFonts w:ascii="Arial" w:eastAsia="Times New Roman" w:hAnsi="Arial" w:cs="Arial"/>
          <w:color w:val="000000"/>
          <w:sz w:val="19"/>
          <w:szCs w:val="19"/>
          <w:lang w:eastAsia="en-IN"/>
        </w:rPr>
        <w:t xml:space="preserve">un </w:t>
      </w:r>
      <w:r w:rsidRPr="0069388D">
        <w:rPr>
          <w:rFonts w:ascii="Arial" w:eastAsia="Times New Roman" w:hAnsi="Arial" w:cs="Arial"/>
          <w:color w:val="000000"/>
          <w:sz w:val="19"/>
          <w:szCs w:val="19"/>
          <w:lang w:eastAsia="en-IN"/>
        </w:rPr>
        <w:t>coated tablets with</w:t>
      </w:r>
      <w:r>
        <w:rPr>
          <w:rFonts w:ascii="Arial" w:eastAsia="Times New Roman" w:hAnsi="Arial" w:cs="Arial"/>
          <w:color w:val="000000"/>
          <w:sz w:val="19"/>
          <w:szCs w:val="19"/>
          <w:lang w:eastAsia="en-IN"/>
        </w:rPr>
        <w:t xml:space="preserve">  the AMINO embossed </w:t>
      </w:r>
      <w:r w:rsidRPr="0069388D">
        <w:rPr>
          <w:rFonts w:ascii="Arial" w:eastAsia="Times New Roman" w:hAnsi="Arial" w:cs="Arial"/>
          <w:color w:val="000000"/>
          <w:sz w:val="19"/>
          <w:szCs w:val="19"/>
          <w:lang w:eastAsia="en-IN"/>
        </w:rPr>
        <w:t xml:space="preserve">logo on one side and </w:t>
      </w:r>
      <w:r>
        <w:rPr>
          <w:rFonts w:ascii="Arial" w:eastAsia="Times New Roman" w:hAnsi="Arial" w:cs="Arial"/>
          <w:color w:val="000000"/>
          <w:sz w:val="19"/>
          <w:szCs w:val="19"/>
          <w:lang w:eastAsia="en-IN"/>
        </w:rPr>
        <w:t>BREAKLINE</w:t>
      </w:r>
      <w:r w:rsidRPr="0069388D">
        <w:rPr>
          <w:rFonts w:ascii="Arial" w:eastAsia="Times New Roman" w:hAnsi="Arial" w:cs="Arial"/>
          <w:color w:val="000000"/>
          <w:sz w:val="19"/>
          <w:szCs w:val="19"/>
          <w:lang w:eastAsia="en-IN"/>
        </w:rPr>
        <w:t xml:space="preserve"> on the other.</w:t>
      </w:r>
      <w:r>
        <w:rPr>
          <w:rFonts w:ascii="Arial" w:eastAsia="Times New Roman" w:hAnsi="Arial" w:cs="Arial"/>
          <w:color w:val="000000"/>
          <w:sz w:val="19"/>
          <w:szCs w:val="19"/>
          <w:lang w:eastAsia="en-IN"/>
        </w:rPr>
        <w:t xml:space="preserve"> Side</w:t>
      </w:r>
      <w:proofErr w:type="gramStart"/>
      <w:r>
        <w:rPr>
          <w:rFonts w:ascii="Arial" w:eastAsia="Times New Roman" w:hAnsi="Arial" w:cs="Arial"/>
          <w:color w:val="000000"/>
          <w:sz w:val="19"/>
          <w:szCs w:val="19"/>
          <w:lang w:eastAsia="en-IN"/>
        </w:rPr>
        <w:t>.</w:t>
      </w:r>
      <w:r w:rsidRPr="0069388D">
        <w:rPr>
          <w:rFonts w:ascii="Arial" w:eastAsia="Times New Roman" w:hAnsi="Arial" w:cs="Arial"/>
          <w:color w:val="000000"/>
          <w:sz w:val="19"/>
          <w:szCs w:val="19"/>
          <w:lang w:eastAsia="en-IN"/>
        </w:rPr>
        <w:t>.</w:t>
      </w:r>
      <w:proofErr w:type="gramEnd"/>
    </w:p>
    <w:p w:rsidR="00DF4011" w:rsidRPr="0069388D" w:rsidRDefault="00DF4011" w:rsidP="00DF4011">
      <w:pPr>
        <w:spacing w:after="150" w:line="240" w:lineRule="auto"/>
        <w:rPr>
          <w:rFonts w:ascii="Arial" w:eastAsia="Times New Roman" w:hAnsi="Arial" w:cs="Arial"/>
          <w:b/>
          <w:bCs/>
          <w:color w:val="397360"/>
          <w:sz w:val="23"/>
          <w:szCs w:val="23"/>
          <w:lang w:eastAsia="en-IN"/>
        </w:rPr>
      </w:pPr>
      <w:r w:rsidRPr="0069388D">
        <w:rPr>
          <w:rFonts w:ascii="Arial" w:eastAsia="Times New Roman" w:hAnsi="Arial" w:cs="Arial"/>
          <w:b/>
          <w:bCs/>
          <w:color w:val="397360"/>
          <w:sz w:val="23"/>
          <w:szCs w:val="23"/>
          <w:lang w:eastAsia="en-IN"/>
        </w:rPr>
        <w:t>4. Clinical particulars</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4.1 Therapeutic indications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For the treatment and prophylaxis of bronchospasm associated with asthma, chronic obstructive pulmonary disease and chronic bronchitis. Also indicated in adults for the treatment of left ventricular and congestive cardiac failure.</w:t>
      </w:r>
    </w:p>
    <w:p w:rsidR="00DF4011" w:rsidRPr="0069388D" w:rsidRDefault="00DF4011" w:rsidP="00DF4011">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 xml:space="preserve">Aminophylline </w:t>
      </w:r>
      <w:r w:rsidRPr="0069388D">
        <w:rPr>
          <w:rFonts w:ascii="Arial" w:eastAsia="Times New Roman" w:hAnsi="Arial" w:cs="Arial"/>
          <w:color w:val="000000"/>
          <w:sz w:val="19"/>
          <w:szCs w:val="19"/>
          <w:lang w:eastAsia="en-IN"/>
        </w:rPr>
        <w:t>tablets are indicated for use in adults and children aged 6 years and above.</w:t>
      </w:r>
    </w:p>
    <w:p w:rsidR="00DF4011"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Aminophylline should not be used as the first drug of choice in the treatment of asthma in children.</w:t>
      </w:r>
    </w:p>
    <w:p w:rsidR="00DF4011" w:rsidRPr="0069388D" w:rsidRDefault="00DF4011" w:rsidP="00DF4011">
      <w:pPr>
        <w:spacing w:after="143" w:line="240" w:lineRule="auto"/>
        <w:rPr>
          <w:rFonts w:ascii="Arial" w:eastAsia="Times New Roman" w:hAnsi="Arial" w:cs="Arial"/>
          <w:color w:val="000000"/>
          <w:sz w:val="19"/>
          <w:szCs w:val="19"/>
          <w:lang w:eastAsia="en-IN"/>
        </w:rPr>
      </w:pP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4.2 Posology and method of administration</w:t>
      </w:r>
    </w:p>
    <w:p w:rsidR="00DF4011" w:rsidRDefault="00DF4011" w:rsidP="00DF4011">
      <w:pPr>
        <w:spacing w:after="143" w:line="240" w:lineRule="auto"/>
        <w:rPr>
          <w:rFonts w:ascii="Arial" w:eastAsia="Times New Roman" w:hAnsi="Arial" w:cs="Arial"/>
          <w:color w:val="000000"/>
          <w:sz w:val="19"/>
          <w:szCs w:val="19"/>
          <w:u w:val="single"/>
          <w:lang w:eastAsia="en-IN"/>
        </w:rPr>
      </w:pPr>
      <w:r w:rsidRPr="0069388D">
        <w:rPr>
          <w:rFonts w:ascii="Arial" w:eastAsia="Times New Roman" w:hAnsi="Arial" w:cs="Arial"/>
          <w:color w:val="000000"/>
          <w:sz w:val="19"/>
          <w:szCs w:val="19"/>
          <w:u w:val="single"/>
          <w:lang w:eastAsia="en-IN"/>
        </w:rPr>
        <w:t>Posology</w:t>
      </w:r>
    </w:p>
    <w:p w:rsidR="00DF4011" w:rsidRPr="00775FC3" w:rsidRDefault="00DF4011" w:rsidP="00DF4011">
      <w:pPr>
        <w:spacing w:before="100" w:beforeAutospacing="1" w:after="100" w:afterAutospacing="1" w:line="450" w:lineRule="atLeast"/>
        <w:rPr>
          <w:rFonts w:ascii="Arial" w:eastAsia="Times New Roman" w:hAnsi="Arial" w:cs="Arial"/>
          <w:color w:val="000000"/>
          <w:sz w:val="20"/>
          <w:szCs w:val="27"/>
          <w:lang w:eastAsia="en-IN"/>
        </w:rPr>
      </w:pPr>
      <w:r w:rsidRPr="00775FC3">
        <w:rPr>
          <w:rFonts w:ascii="Arial" w:eastAsia="Times New Roman" w:hAnsi="Arial" w:cs="Arial"/>
          <w:color w:val="000000"/>
          <w:sz w:val="20"/>
          <w:szCs w:val="27"/>
          <w:lang w:eastAsia="en-IN"/>
        </w:rPr>
        <w:t>Dosing is based on patient's ideal body weight. In adults a loading dose of 5.7 mg/kg administered intravenously over 30 minutes followed by a continuous maintenance infusion of 0.5 mg/kg/</w:t>
      </w:r>
      <w:proofErr w:type="spellStart"/>
      <w:r w:rsidRPr="00775FC3">
        <w:rPr>
          <w:rFonts w:ascii="Arial" w:eastAsia="Times New Roman" w:hAnsi="Arial" w:cs="Arial"/>
          <w:color w:val="000000"/>
          <w:sz w:val="20"/>
          <w:szCs w:val="27"/>
          <w:lang w:eastAsia="en-IN"/>
        </w:rPr>
        <w:t>hr</w:t>
      </w:r>
      <w:proofErr w:type="spellEnd"/>
      <w:r w:rsidRPr="00775FC3">
        <w:rPr>
          <w:rFonts w:ascii="Arial" w:eastAsia="Times New Roman" w:hAnsi="Arial" w:cs="Arial"/>
          <w:color w:val="000000"/>
          <w:sz w:val="20"/>
          <w:szCs w:val="27"/>
          <w:lang w:eastAsia="en-IN"/>
        </w:rPr>
        <w:t xml:space="preserve"> for non-</w:t>
      </w:r>
      <w:hyperlink r:id="rId5" w:history="1">
        <w:r w:rsidRPr="00775FC3">
          <w:rPr>
            <w:rFonts w:ascii="Arial" w:eastAsia="Times New Roman" w:hAnsi="Arial" w:cs="Arial"/>
            <w:b/>
            <w:bCs/>
            <w:color w:val="2196F3"/>
            <w:sz w:val="18"/>
            <w:szCs w:val="24"/>
            <w:u w:val="single"/>
            <w:lang w:eastAsia="en-IN"/>
          </w:rPr>
          <w:t>smokers</w:t>
        </w:r>
      </w:hyperlink>
      <w:r w:rsidRPr="00775FC3">
        <w:rPr>
          <w:rFonts w:ascii="Arial" w:eastAsia="Times New Roman" w:hAnsi="Arial" w:cs="Arial"/>
          <w:color w:val="000000"/>
          <w:sz w:val="20"/>
          <w:szCs w:val="27"/>
          <w:lang w:eastAsia="en-IN"/>
        </w:rPr>
        <w:t> 60 years or younger and 0.38 mg/kg/hour for those 60 years and older.</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Method of administration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Oral</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 tablets should be swallowed and not chewed.</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Missed dose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If a patient forgets to take a dose but remembers within 4 hours of the time the dose was due to be taken, the tablets can be taken straight away. The next dose should be taken at the normal time. Beyond 4 hours, the prescriber may need to consider alternative treatment until the dose is due.</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4.3 Contraindications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Hypersensitivity to </w:t>
      </w:r>
      <w:proofErr w:type="spellStart"/>
      <w:r w:rsidRPr="0069388D">
        <w:rPr>
          <w:rFonts w:ascii="Arial" w:eastAsia="Times New Roman" w:hAnsi="Arial" w:cs="Arial"/>
          <w:color w:val="000000"/>
          <w:sz w:val="19"/>
          <w:szCs w:val="19"/>
          <w:lang w:eastAsia="en-IN"/>
        </w:rPr>
        <w:t>xanthines</w:t>
      </w:r>
      <w:proofErr w:type="spellEnd"/>
      <w:r w:rsidRPr="0069388D">
        <w:rPr>
          <w:rFonts w:ascii="Arial" w:eastAsia="Times New Roman" w:hAnsi="Arial" w:cs="Arial"/>
          <w:color w:val="000000"/>
          <w:sz w:val="19"/>
          <w:szCs w:val="19"/>
          <w:lang w:eastAsia="en-IN"/>
        </w:rPr>
        <w:t xml:space="preserve">, ethylene </w:t>
      </w:r>
      <w:proofErr w:type="spellStart"/>
      <w:r w:rsidRPr="0069388D">
        <w:rPr>
          <w:rFonts w:ascii="Arial" w:eastAsia="Times New Roman" w:hAnsi="Arial" w:cs="Arial"/>
          <w:color w:val="000000"/>
          <w:sz w:val="19"/>
          <w:szCs w:val="19"/>
          <w:lang w:eastAsia="en-IN"/>
        </w:rPr>
        <w:t>diamine</w:t>
      </w:r>
      <w:proofErr w:type="spellEnd"/>
      <w:r w:rsidRPr="0069388D">
        <w:rPr>
          <w:rFonts w:ascii="Arial" w:eastAsia="Times New Roman" w:hAnsi="Arial" w:cs="Arial"/>
          <w:color w:val="000000"/>
          <w:sz w:val="19"/>
          <w:szCs w:val="19"/>
          <w:lang w:eastAsia="en-IN"/>
        </w:rPr>
        <w:t xml:space="preserve"> or any of the excipients listed in section 6.1.</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Concomitant use with ephedrine in children less than 6 years of age (or less than 22 kg)</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Porphyria.</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Aminophylline is contraindicated in children under 6 months of age.</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4.4 Special warnings and precautions for use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 patient's response to therapy should be carefully monitored – worsening of asthma symptoms requires medical attention.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lastRenderedPageBreak/>
        <w:t>Due to potential decreased clearance, dose reduction and monitoring of serum theophylline concentrations may be required in elderly patients and patients with:</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 </w:t>
      </w:r>
      <w:proofErr w:type="gramStart"/>
      <w:r w:rsidRPr="0069388D">
        <w:rPr>
          <w:rFonts w:ascii="Arial" w:eastAsia="Times New Roman" w:hAnsi="Arial" w:cs="Arial"/>
          <w:color w:val="000000"/>
          <w:sz w:val="19"/>
          <w:szCs w:val="19"/>
          <w:lang w:eastAsia="en-IN"/>
        </w:rPr>
        <w:t>cardiac</w:t>
      </w:r>
      <w:proofErr w:type="gramEnd"/>
      <w:r w:rsidRPr="0069388D">
        <w:rPr>
          <w:rFonts w:ascii="Arial" w:eastAsia="Times New Roman" w:hAnsi="Arial" w:cs="Arial"/>
          <w:color w:val="000000"/>
          <w:sz w:val="19"/>
          <w:szCs w:val="19"/>
          <w:lang w:eastAsia="en-IN"/>
        </w:rPr>
        <w:t xml:space="preserve"> disease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 </w:t>
      </w:r>
      <w:proofErr w:type="gramStart"/>
      <w:r w:rsidRPr="0069388D">
        <w:rPr>
          <w:rFonts w:ascii="Arial" w:eastAsia="Times New Roman" w:hAnsi="Arial" w:cs="Arial"/>
          <w:color w:val="000000"/>
          <w:sz w:val="19"/>
          <w:szCs w:val="19"/>
          <w:lang w:eastAsia="en-IN"/>
        </w:rPr>
        <w:t>hepatic</w:t>
      </w:r>
      <w:proofErr w:type="gramEnd"/>
      <w:r w:rsidRPr="0069388D">
        <w:rPr>
          <w:rFonts w:ascii="Arial" w:eastAsia="Times New Roman" w:hAnsi="Arial" w:cs="Arial"/>
          <w:color w:val="000000"/>
          <w:sz w:val="19"/>
          <w:szCs w:val="19"/>
          <w:lang w:eastAsia="en-IN"/>
        </w:rPr>
        <w:t xml:space="preserve"> disease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 </w:t>
      </w:r>
      <w:proofErr w:type="gramStart"/>
      <w:r w:rsidRPr="0069388D">
        <w:rPr>
          <w:rFonts w:ascii="Arial" w:eastAsia="Times New Roman" w:hAnsi="Arial" w:cs="Arial"/>
          <w:color w:val="000000"/>
          <w:sz w:val="19"/>
          <w:szCs w:val="19"/>
          <w:lang w:eastAsia="en-IN"/>
        </w:rPr>
        <w:t>exacerbations</w:t>
      </w:r>
      <w:proofErr w:type="gramEnd"/>
      <w:r w:rsidRPr="0069388D">
        <w:rPr>
          <w:rFonts w:ascii="Arial" w:eastAsia="Times New Roman" w:hAnsi="Arial" w:cs="Arial"/>
          <w:color w:val="000000"/>
          <w:sz w:val="19"/>
          <w:szCs w:val="19"/>
          <w:lang w:eastAsia="en-IN"/>
        </w:rPr>
        <w:t xml:space="preserve"> of lung disease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 </w:t>
      </w:r>
      <w:proofErr w:type="gramStart"/>
      <w:r w:rsidRPr="0069388D">
        <w:rPr>
          <w:rFonts w:ascii="Arial" w:eastAsia="Times New Roman" w:hAnsi="Arial" w:cs="Arial"/>
          <w:color w:val="000000"/>
          <w:sz w:val="19"/>
          <w:szCs w:val="19"/>
          <w:lang w:eastAsia="en-IN"/>
        </w:rPr>
        <w:t>hypothyroidism</w:t>
      </w:r>
      <w:proofErr w:type="gramEnd"/>
      <w:r w:rsidRPr="0069388D">
        <w:rPr>
          <w:rFonts w:ascii="Arial" w:eastAsia="Times New Roman" w:hAnsi="Arial" w:cs="Arial"/>
          <w:color w:val="000000"/>
          <w:sz w:val="19"/>
          <w:szCs w:val="19"/>
          <w:lang w:eastAsia="en-IN"/>
        </w:rPr>
        <w:t xml:space="preserve"> (and when starting acute treatment)</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 </w:t>
      </w:r>
      <w:proofErr w:type="gramStart"/>
      <w:r w:rsidRPr="0069388D">
        <w:rPr>
          <w:rFonts w:ascii="Arial" w:eastAsia="Times New Roman" w:hAnsi="Arial" w:cs="Arial"/>
          <w:color w:val="000000"/>
          <w:sz w:val="19"/>
          <w:szCs w:val="19"/>
          <w:lang w:eastAsia="en-IN"/>
        </w:rPr>
        <w:t>fever</w:t>
      </w:r>
      <w:proofErr w:type="gramEnd"/>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 </w:t>
      </w:r>
      <w:proofErr w:type="gramStart"/>
      <w:r w:rsidRPr="0069388D">
        <w:rPr>
          <w:rFonts w:ascii="Arial" w:eastAsia="Times New Roman" w:hAnsi="Arial" w:cs="Arial"/>
          <w:color w:val="000000"/>
          <w:sz w:val="19"/>
          <w:szCs w:val="19"/>
          <w:lang w:eastAsia="en-IN"/>
        </w:rPr>
        <w:t>viral</w:t>
      </w:r>
      <w:proofErr w:type="gramEnd"/>
      <w:r w:rsidRPr="0069388D">
        <w:rPr>
          <w:rFonts w:ascii="Arial" w:eastAsia="Times New Roman" w:hAnsi="Arial" w:cs="Arial"/>
          <w:color w:val="000000"/>
          <w:sz w:val="19"/>
          <w:szCs w:val="19"/>
          <w:lang w:eastAsia="en-IN"/>
        </w:rPr>
        <w:t xml:space="preserve"> infections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Due to potential increased clearance, dose increase and monitoring of serum theophylline concentrations may be required in patients with hyperthyroidism (and when starting acute hyperthyroidism treatment) and cystic fibrosis.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Theophylline may:</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 </w:t>
      </w:r>
      <w:proofErr w:type="gramStart"/>
      <w:r w:rsidRPr="0069388D">
        <w:rPr>
          <w:rFonts w:ascii="Arial" w:eastAsia="Times New Roman" w:hAnsi="Arial" w:cs="Arial"/>
          <w:color w:val="000000"/>
          <w:sz w:val="19"/>
          <w:szCs w:val="19"/>
          <w:lang w:eastAsia="en-IN"/>
        </w:rPr>
        <w:t>act</w:t>
      </w:r>
      <w:proofErr w:type="gramEnd"/>
      <w:r w:rsidRPr="0069388D">
        <w:rPr>
          <w:rFonts w:ascii="Arial" w:eastAsia="Times New Roman" w:hAnsi="Arial" w:cs="Arial"/>
          <w:color w:val="000000"/>
          <w:sz w:val="19"/>
          <w:szCs w:val="19"/>
          <w:lang w:eastAsia="en-IN"/>
        </w:rPr>
        <w:t xml:space="preserve"> as a gastrointestinal tract irritant and increase gastric secretion, therefore caution should be exercised in patients with peptic ulcers.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exacerbate cardiac arrhythmias and therefore caution should be exercised in patients with cardiac disorders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exacerbate frequency and duration of seizures and therefore caution should be exercised in patients with history of seizures and alternative treatment considered.</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Caution should be exercised in elderly males with pre-existing partial urinary tract obstruction, such as prostatic enlargement, due to risk of urinary retention.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Particular care is advised in patients suffering from severe asthma who require acute aminophylline administration. It is recommended that serum theophylline concentrations are monitored in such situations.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Caution should also be used in patients with, severe hypertension or chronic alcoholism.</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4.5 Interaction with other medicinal products and other forms of interaction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The following increase clearance of theophylline and it may therefore be necessary to increase dosage to ensure a therapeutic effect: </w:t>
      </w:r>
      <w:proofErr w:type="spellStart"/>
      <w:r w:rsidRPr="0069388D">
        <w:rPr>
          <w:rFonts w:ascii="Arial" w:eastAsia="Times New Roman" w:hAnsi="Arial" w:cs="Arial"/>
          <w:color w:val="000000"/>
          <w:sz w:val="19"/>
          <w:szCs w:val="19"/>
          <w:lang w:eastAsia="en-IN"/>
        </w:rPr>
        <w:t>aminoglutethimide</w:t>
      </w:r>
      <w:proofErr w:type="spellEnd"/>
      <w:r w:rsidRPr="0069388D">
        <w:rPr>
          <w:rFonts w:ascii="Arial" w:eastAsia="Times New Roman" w:hAnsi="Arial" w:cs="Arial"/>
          <w:color w:val="000000"/>
          <w:sz w:val="19"/>
          <w:szCs w:val="19"/>
          <w:lang w:eastAsia="en-IN"/>
        </w:rPr>
        <w:t xml:space="preserve">, carbamazepine, </w:t>
      </w:r>
      <w:proofErr w:type="spellStart"/>
      <w:r w:rsidRPr="0069388D">
        <w:rPr>
          <w:rFonts w:ascii="Arial" w:eastAsia="Times New Roman" w:hAnsi="Arial" w:cs="Arial"/>
          <w:color w:val="000000"/>
          <w:sz w:val="19"/>
          <w:szCs w:val="19"/>
          <w:lang w:eastAsia="en-IN"/>
        </w:rPr>
        <w:t>isoprenaline</w:t>
      </w:r>
      <w:proofErr w:type="spellEnd"/>
      <w:r w:rsidRPr="0069388D">
        <w:rPr>
          <w:rFonts w:ascii="Arial" w:eastAsia="Times New Roman" w:hAnsi="Arial" w:cs="Arial"/>
          <w:color w:val="000000"/>
          <w:sz w:val="19"/>
          <w:szCs w:val="19"/>
          <w:lang w:eastAsia="en-IN"/>
        </w:rPr>
        <w:t xml:space="preserve">, phenytoin, rifampicin, </w:t>
      </w:r>
      <w:proofErr w:type="spellStart"/>
      <w:r w:rsidRPr="0069388D">
        <w:rPr>
          <w:rFonts w:ascii="Arial" w:eastAsia="Times New Roman" w:hAnsi="Arial" w:cs="Arial"/>
          <w:color w:val="000000"/>
          <w:sz w:val="19"/>
          <w:szCs w:val="19"/>
          <w:lang w:eastAsia="en-IN"/>
        </w:rPr>
        <w:t>sulphinpyrazone</w:t>
      </w:r>
      <w:proofErr w:type="spellEnd"/>
      <w:r w:rsidRPr="0069388D">
        <w:rPr>
          <w:rFonts w:ascii="Arial" w:eastAsia="Times New Roman" w:hAnsi="Arial" w:cs="Arial"/>
          <w:color w:val="000000"/>
          <w:sz w:val="19"/>
          <w:szCs w:val="19"/>
          <w:lang w:eastAsia="en-IN"/>
        </w:rPr>
        <w:t xml:space="preserve">, barbiturates, ritonavir and </w:t>
      </w:r>
      <w:proofErr w:type="spellStart"/>
      <w:r w:rsidRPr="0069388D">
        <w:rPr>
          <w:rFonts w:ascii="Arial" w:eastAsia="Times New Roman" w:hAnsi="Arial" w:cs="Arial"/>
          <w:color w:val="000000"/>
          <w:sz w:val="19"/>
          <w:szCs w:val="19"/>
          <w:lang w:eastAsia="en-IN"/>
        </w:rPr>
        <w:t>hypericum</w:t>
      </w:r>
      <w:proofErr w:type="spellEnd"/>
      <w:r w:rsidRPr="0069388D">
        <w:rPr>
          <w:rFonts w:ascii="Arial" w:eastAsia="Times New Roman" w:hAnsi="Arial" w:cs="Arial"/>
          <w:color w:val="000000"/>
          <w:sz w:val="19"/>
          <w:szCs w:val="19"/>
          <w:lang w:eastAsia="en-IN"/>
        </w:rPr>
        <w:t xml:space="preserve"> </w:t>
      </w:r>
      <w:proofErr w:type="spellStart"/>
      <w:r w:rsidRPr="0069388D">
        <w:rPr>
          <w:rFonts w:ascii="Arial" w:eastAsia="Times New Roman" w:hAnsi="Arial" w:cs="Arial"/>
          <w:color w:val="000000"/>
          <w:sz w:val="19"/>
          <w:szCs w:val="19"/>
          <w:lang w:eastAsia="en-IN"/>
        </w:rPr>
        <w:t>perforatum</w:t>
      </w:r>
      <w:proofErr w:type="spellEnd"/>
      <w:r w:rsidRPr="0069388D">
        <w:rPr>
          <w:rFonts w:ascii="Arial" w:eastAsia="Times New Roman" w:hAnsi="Arial" w:cs="Arial"/>
          <w:color w:val="000000"/>
          <w:sz w:val="19"/>
          <w:szCs w:val="19"/>
          <w:lang w:eastAsia="en-IN"/>
        </w:rPr>
        <w:t xml:space="preserve"> (St. John's </w:t>
      </w:r>
      <w:proofErr w:type="spellStart"/>
      <w:r w:rsidRPr="0069388D">
        <w:rPr>
          <w:rFonts w:ascii="Arial" w:eastAsia="Times New Roman" w:hAnsi="Arial" w:cs="Arial"/>
          <w:color w:val="000000"/>
          <w:sz w:val="19"/>
          <w:szCs w:val="19"/>
          <w:lang w:eastAsia="en-IN"/>
        </w:rPr>
        <w:t>Wort</w:t>
      </w:r>
      <w:proofErr w:type="spellEnd"/>
      <w:r w:rsidRPr="0069388D">
        <w:rPr>
          <w:rFonts w:ascii="Arial" w:eastAsia="Times New Roman" w:hAnsi="Arial" w:cs="Arial"/>
          <w:color w:val="000000"/>
          <w:sz w:val="19"/>
          <w:szCs w:val="19"/>
          <w:lang w:eastAsia="en-IN"/>
        </w:rPr>
        <w:t>).</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Smoking and alcohol consumption can also increase clearance of theophylline.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The following reduce clearance of theophylline and a reduced dosage may therefore be necessary to avoid side-effects: </w:t>
      </w:r>
      <w:proofErr w:type="spellStart"/>
      <w:r w:rsidRPr="0069388D">
        <w:rPr>
          <w:rFonts w:ascii="Arial" w:eastAsia="Times New Roman" w:hAnsi="Arial" w:cs="Arial"/>
          <w:color w:val="000000"/>
          <w:sz w:val="19"/>
          <w:szCs w:val="19"/>
          <w:lang w:eastAsia="en-IN"/>
        </w:rPr>
        <w:t>aciclovir</w:t>
      </w:r>
      <w:proofErr w:type="spellEnd"/>
      <w:r w:rsidRPr="0069388D">
        <w:rPr>
          <w:rFonts w:ascii="Arial" w:eastAsia="Times New Roman" w:hAnsi="Arial" w:cs="Arial"/>
          <w:color w:val="000000"/>
          <w:sz w:val="19"/>
          <w:szCs w:val="19"/>
          <w:lang w:eastAsia="en-IN"/>
        </w:rPr>
        <w:t xml:space="preserve">, allopurinol, </w:t>
      </w:r>
      <w:proofErr w:type="spellStart"/>
      <w:r w:rsidRPr="0069388D">
        <w:rPr>
          <w:rFonts w:ascii="Arial" w:eastAsia="Times New Roman" w:hAnsi="Arial" w:cs="Arial"/>
          <w:color w:val="000000"/>
          <w:sz w:val="19"/>
          <w:szCs w:val="19"/>
          <w:lang w:eastAsia="en-IN"/>
        </w:rPr>
        <w:t>carbimazole</w:t>
      </w:r>
      <w:proofErr w:type="spellEnd"/>
      <w:r w:rsidRPr="0069388D">
        <w:rPr>
          <w:rFonts w:ascii="Arial" w:eastAsia="Times New Roman" w:hAnsi="Arial" w:cs="Arial"/>
          <w:color w:val="000000"/>
          <w:sz w:val="19"/>
          <w:szCs w:val="19"/>
          <w:lang w:eastAsia="en-IN"/>
        </w:rPr>
        <w:t xml:space="preserve">, cimetidine, clarithromycin, </w:t>
      </w:r>
      <w:proofErr w:type="spellStart"/>
      <w:r w:rsidRPr="0069388D">
        <w:rPr>
          <w:rFonts w:ascii="Arial" w:eastAsia="Times New Roman" w:hAnsi="Arial" w:cs="Arial"/>
          <w:color w:val="000000"/>
          <w:sz w:val="19"/>
          <w:szCs w:val="19"/>
          <w:lang w:eastAsia="en-IN"/>
        </w:rPr>
        <w:t>diltiazem</w:t>
      </w:r>
      <w:proofErr w:type="spellEnd"/>
      <w:r w:rsidRPr="0069388D">
        <w:rPr>
          <w:rFonts w:ascii="Arial" w:eastAsia="Times New Roman" w:hAnsi="Arial" w:cs="Arial"/>
          <w:color w:val="000000"/>
          <w:sz w:val="19"/>
          <w:szCs w:val="19"/>
          <w:lang w:eastAsia="en-IN"/>
        </w:rPr>
        <w:t xml:space="preserve">, </w:t>
      </w:r>
      <w:proofErr w:type="spellStart"/>
      <w:r w:rsidRPr="0069388D">
        <w:rPr>
          <w:rFonts w:ascii="Arial" w:eastAsia="Times New Roman" w:hAnsi="Arial" w:cs="Arial"/>
          <w:color w:val="000000"/>
          <w:sz w:val="19"/>
          <w:szCs w:val="19"/>
          <w:lang w:eastAsia="en-IN"/>
        </w:rPr>
        <w:t>disulfiram</w:t>
      </w:r>
      <w:proofErr w:type="spellEnd"/>
      <w:r w:rsidRPr="0069388D">
        <w:rPr>
          <w:rFonts w:ascii="Arial" w:eastAsia="Times New Roman" w:hAnsi="Arial" w:cs="Arial"/>
          <w:color w:val="000000"/>
          <w:sz w:val="19"/>
          <w:szCs w:val="19"/>
          <w:lang w:eastAsia="en-IN"/>
        </w:rPr>
        <w:t xml:space="preserve">, erythromycin, fluconazole, interferon, isoniazid, methotrexate, </w:t>
      </w:r>
      <w:proofErr w:type="spellStart"/>
      <w:r w:rsidRPr="0069388D">
        <w:rPr>
          <w:rFonts w:ascii="Arial" w:eastAsia="Times New Roman" w:hAnsi="Arial" w:cs="Arial"/>
          <w:color w:val="000000"/>
          <w:sz w:val="19"/>
          <w:szCs w:val="19"/>
          <w:lang w:eastAsia="en-IN"/>
        </w:rPr>
        <w:t>mexiletine</w:t>
      </w:r>
      <w:proofErr w:type="spellEnd"/>
      <w:r w:rsidRPr="0069388D">
        <w:rPr>
          <w:rFonts w:ascii="Arial" w:eastAsia="Times New Roman" w:hAnsi="Arial" w:cs="Arial"/>
          <w:color w:val="000000"/>
          <w:sz w:val="19"/>
          <w:szCs w:val="19"/>
          <w:lang w:eastAsia="en-IN"/>
        </w:rPr>
        <w:t xml:space="preserve">, </w:t>
      </w:r>
      <w:proofErr w:type="spellStart"/>
      <w:r w:rsidRPr="0069388D">
        <w:rPr>
          <w:rFonts w:ascii="Arial" w:eastAsia="Times New Roman" w:hAnsi="Arial" w:cs="Arial"/>
          <w:color w:val="000000"/>
          <w:sz w:val="19"/>
          <w:szCs w:val="19"/>
          <w:lang w:eastAsia="en-IN"/>
        </w:rPr>
        <w:t>nizatidine</w:t>
      </w:r>
      <w:proofErr w:type="spellEnd"/>
      <w:r w:rsidRPr="0069388D">
        <w:rPr>
          <w:rFonts w:ascii="Arial" w:eastAsia="Times New Roman" w:hAnsi="Arial" w:cs="Arial"/>
          <w:color w:val="000000"/>
          <w:sz w:val="19"/>
          <w:szCs w:val="19"/>
          <w:lang w:eastAsia="en-IN"/>
        </w:rPr>
        <w:t xml:space="preserve">, </w:t>
      </w:r>
      <w:proofErr w:type="spellStart"/>
      <w:r w:rsidRPr="0069388D">
        <w:rPr>
          <w:rFonts w:ascii="Arial" w:eastAsia="Times New Roman" w:hAnsi="Arial" w:cs="Arial"/>
          <w:color w:val="000000"/>
          <w:sz w:val="19"/>
          <w:szCs w:val="19"/>
          <w:lang w:eastAsia="en-IN"/>
        </w:rPr>
        <w:t>pentoxifylline</w:t>
      </w:r>
      <w:proofErr w:type="spellEnd"/>
      <w:r w:rsidRPr="0069388D">
        <w:rPr>
          <w:rFonts w:ascii="Arial" w:eastAsia="Times New Roman" w:hAnsi="Arial" w:cs="Arial"/>
          <w:color w:val="000000"/>
          <w:sz w:val="19"/>
          <w:szCs w:val="19"/>
          <w:lang w:eastAsia="en-IN"/>
        </w:rPr>
        <w:t xml:space="preserve">, </w:t>
      </w:r>
      <w:proofErr w:type="spellStart"/>
      <w:r w:rsidRPr="0069388D">
        <w:rPr>
          <w:rFonts w:ascii="Arial" w:eastAsia="Times New Roman" w:hAnsi="Arial" w:cs="Arial"/>
          <w:color w:val="000000"/>
          <w:sz w:val="19"/>
          <w:szCs w:val="19"/>
          <w:lang w:eastAsia="en-IN"/>
        </w:rPr>
        <w:t>propafenone</w:t>
      </w:r>
      <w:proofErr w:type="spellEnd"/>
      <w:r w:rsidRPr="0069388D">
        <w:rPr>
          <w:rFonts w:ascii="Arial" w:eastAsia="Times New Roman" w:hAnsi="Arial" w:cs="Arial"/>
          <w:color w:val="000000"/>
          <w:sz w:val="19"/>
          <w:szCs w:val="19"/>
          <w:lang w:eastAsia="en-IN"/>
        </w:rPr>
        <w:t xml:space="preserve">, propranolol, </w:t>
      </w:r>
      <w:proofErr w:type="spellStart"/>
      <w:r w:rsidRPr="0069388D">
        <w:rPr>
          <w:rFonts w:ascii="Arial" w:eastAsia="Times New Roman" w:hAnsi="Arial" w:cs="Arial"/>
          <w:color w:val="000000"/>
          <w:sz w:val="19"/>
          <w:szCs w:val="19"/>
          <w:lang w:eastAsia="en-IN"/>
        </w:rPr>
        <w:t>thiabendazole</w:t>
      </w:r>
      <w:proofErr w:type="spellEnd"/>
      <w:r w:rsidRPr="0069388D">
        <w:rPr>
          <w:rFonts w:ascii="Arial" w:eastAsia="Times New Roman" w:hAnsi="Arial" w:cs="Arial"/>
          <w:color w:val="000000"/>
          <w:sz w:val="19"/>
          <w:szCs w:val="19"/>
          <w:lang w:eastAsia="en-IN"/>
        </w:rPr>
        <w:t>, verapamil and oral contraceptives.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Theophylline has been shown to interact with some quinolone antibiotics including ciprofloxacin and </w:t>
      </w:r>
      <w:proofErr w:type="spellStart"/>
      <w:r w:rsidRPr="0069388D">
        <w:rPr>
          <w:rFonts w:ascii="Arial" w:eastAsia="Times New Roman" w:hAnsi="Arial" w:cs="Arial"/>
          <w:color w:val="000000"/>
          <w:sz w:val="19"/>
          <w:szCs w:val="19"/>
          <w:lang w:eastAsia="en-IN"/>
        </w:rPr>
        <w:t>enoxacin</w:t>
      </w:r>
      <w:proofErr w:type="spellEnd"/>
      <w:r w:rsidRPr="0069388D">
        <w:rPr>
          <w:rFonts w:ascii="Arial" w:eastAsia="Times New Roman" w:hAnsi="Arial" w:cs="Arial"/>
          <w:color w:val="000000"/>
          <w:sz w:val="19"/>
          <w:szCs w:val="19"/>
          <w:lang w:eastAsia="en-IN"/>
        </w:rPr>
        <w:t>, which may result in elevated plasma theophylline levels.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 concomitant use of theophylline and fluvoxamine should usually be avoided. Where this is not possible, patients should have their theophylline dose reduced and plasma theophylline should be monitored closely.</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Factors such as viral infections, liver disease and heart failure also reduce theophylline clearance. There are conflicting reports concerning the potentiation of theophylline by influenza vaccine and physicians should be aware that interaction may occur resulting in increased serum theophylline levels. A reduction of dosage may be necessary in elderly patients. Thyroid disease or associated treatment may alter theophylline plasma levels.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Concurrent administration of aminophylline may:</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 inhibit the effect of adenosine receptor agonists (adenosine, </w:t>
      </w:r>
      <w:proofErr w:type="spellStart"/>
      <w:r w:rsidRPr="0069388D">
        <w:rPr>
          <w:rFonts w:ascii="Arial" w:eastAsia="Times New Roman" w:hAnsi="Arial" w:cs="Arial"/>
          <w:color w:val="000000"/>
          <w:sz w:val="19"/>
          <w:szCs w:val="19"/>
          <w:lang w:eastAsia="en-IN"/>
        </w:rPr>
        <w:t>regadenoson</w:t>
      </w:r>
      <w:proofErr w:type="spellEnd"/>
      <w:r w:rsidRPr="0069388D">
        <w:rPr>
          <w:rFonts w:ascii="Arial" w:eastAsia="Times New Roman" w:hAnsi="Arial" w:cs="Arial"/>
          <w:color w:val="000000"/>
          <w:sz w:val="19"/>
          <w:szCs w:val="19"/>
          <w:lang w:eastAsia="en-IN"/>
        </w:rPr>
        <w:t xml:space="preserve">, </w:t>
      </w:r>
      <w:proofErr w:type="spellStart"/>
      <w:r w:rsidRPr="0069388D">
        <w:rPr>
          <w:rFonts w:ascii="Arial" w:eastAsia="Times New Roman" w:hAnsi="Arial" w:cs="Arial"/>
          <w:color w:val="000000"/>
          <w:sz w:val="19"/>
          <w:szCs w:val="19"/>
          <w:lang w:eastAsia="en-IN"/>
        </w:rPr>
        <w:t>dipyridamol</w:t>
      </w:r>
      <w:proofErr w:type="spellEnd"/>
      <w:r w:rsidRPr="0069388D">
        <w:rPr>
          <w:rFonts w:ascii="Arial" w:eastAsia="Times New Roman" w:hAnsi="Arial" w:cs="Arial"/>
          <w:color w:val="000000"/>
          <w:sz w:val="19"/>
          <w:szCs w:val="19"/>
          <w:lang w:eastAsia="en-IN"/>
        </w:rPr>
        <w:t>) and may reduce their toxicity when used for cardiac perfusion scanning;</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 oppose the </w:t>
      </w:r>
      <w:proofErr w:type="spellStart"/>
      <w:r w:rsidRPr="0069388D">
        <w:rPr>
          <w:rFonts w:ascii="Arial" w:eastAsia="Times New Roman" w:hAnsi="Arial" w:cs="Arial"/>
          <w:color w:val="000000"/>
          <w:sz w:val="19"/>
          <w:szCs w:val="19"/>
          <w:lang w:eastAsia="en-IN"/>
        </w:rPr>
        <w:t>sedatory</w:t>
      </w:r>
      <w:proofErr w:type="spellEnd"/>
      <w:r w:rsidRPr="0069388D">
        <w:rPr>
          <w:rFonts w:ascii="Arial" w:eastAsia="Times New Roman" w:hAnsi="Arial" w:cs="Arial"/>
          <w:color w:val="000000"/>
          <w:sz w:val="19"/>
          <w:szCs w:val="19"/>
          <w:lang w:eastAsia="en-IN"/>
        </w:rPr>
        <w:t xml:space="preserve"> effect of benzodiazepines;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result in the occurrence of arrhythmias with halothane;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lastRenderedPageBreak/>
        <w:t xml:space="preserve">• result in thrombocytopenia with </w:t>
      </w:r>
      <w:proofErr w:type="spellStart"/>
      <w:r w:rsidRPr="0069388D">
        <w:rPr>
          <w:rFonts w:ascii="Arial" w:eastAsia="Times New Roman" w:hAnsi="Arial" w:cs="Arial"/>
          <w:color w:val="000000"/>
          <w:sz w:val="19"/>
          <w:szCs w:val="19"/>
          <w:lang w:eastAsia="en-IN"/>
        </w:rPr>
        <w:t>lomustine</w:t>
      </w:r>
      <w:proofErr w:type="spellEnd"/>
      <w:r w:rsidRPr="0069388D">
        <w:rPr>
          <w:rFonts w:ascii="Arial" w:eastAsia="Times New Roman" w:hAnsi="Arial" w:cs="Arial"/>
          <w:color w:val="000000"/>
          <w:sz w:val="19"/>
          <w:szCs w:val="19"/>
          <w:lang w:eastAsia="en-IN"/>
        </w:rPr>
        <w:t>;</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increase urinary lithium clearance.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Therefore these drugs should be used with caution.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Care should be taken in its concomitant use with β-adrenergic agonists, glucagon and other xanthine drugs, as these will potentiate the effects of theophylline. The incidence of toxic effects may be enhanced by the concomitant use of ephedrine.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Hypokalaemia resulting from β2 agonist therapy, steroids, diuretics and hypoxia may be potentiated by </w:t>
      </w:r>
      <w:proofErr w:type="spellStart"/>
      <w:r w:rsidRPr="0069388D">
        <w:rPr>
          <w:rFonts w:ascii="Arial" w:eastAsia="Times New Roman" w:hAnsi="Arial" w:cs="Arial"/>
          <w:color w:val="000000"/>
          <w:sz w:val="19"/>
          <w:szCs w:val="19"/>
          <w:lang w:eastAsia="en-IN"/>
        </w:rPr>
        <w:t>xanthines</w:t>
      </w:r>
      <w:proofErr w:type="spellEnd"/>
      <w:r w:rsidRPr="0069388D">
        <w:rPr>
          <w:rFonts w:ascii="Arial" w:eastAsia="Times New Roman" w:hAnsi="Arial" w:cs="Arial"/>
          <w:color w:val="000000"/>
          <w:sz w:val="19"/>
          <w:szCs w:val="19"/>
          <w:lang w:eastAsia="en-IN"/>
        </w:rPr>
        <w:t>. Particular care is advised in patients suffering from severe asthma who require hospitalisation. It is recommended that serum potassium concentrations are monitored in such situations.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Theophylline may decrease steady state phenytoin levels.</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4.6 Fertility, pregnancy and lactation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Pregnancy</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There are no adequate data from well controlled studies from the use of theophylline in pregnant women. Theophylline has been reported to give rise to </w:t>
      </w:r>
      <w:proofErr w:type="spellStart"/>
      <w:r w:rsidRPr="0069388D">
        <w:rPr>
          <w:rFonts w:ascii="Arial" w:eastAsia="Times New Roman" w:hAnsi="Arial" w:cs="Arial"/>
          <w:color w:val="000000"/>
          <w:sz w:val="19"/>
          <w:szCs w:val="19"/>
          <w:lang w:eastAsia="en-IN"/>
        </w:rPr>
        <w:t>teratogenic</w:t>
      </w:r>
      <w:proofErr w:type="spellEnd"/>
      <w:r w:rsidRPr="0069388D">
        <w:rPr>
          <w:rFonts w:ascii="Arial" w:eastAsia="Times New Roman" w:hAnsi="Arial" w:cs="Arial"/>
          <w:color w:val="000000"/>
          <w:sz w:val="19"/>
          <w:szCs w:val="19"/>
          <w:lang w:eastAsia="en-IN"/>
        </w:rPr>
        <w:t xml:space="preserve"> effects in mice, rats and rabbits (see section 5.3). The potential risk for humans is unknown.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Theophylline should not be administered during pregnancy unless clearly necessary.</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Breast-feeding</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Theophylline is secreted in breast milk, and may be associated with irritability in the infant, therefore it should only be given to breast feeding women when the anticipated benefits outweigh the risk to the child.</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4.7 Effects on ability to drive and use machines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PHYLLOCONTIN CONTINUS tablets have no or negligible influence on the ability to drive and use machines.</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4.8 Undesirable effects</w:t>
      </w:r>
    </w:p>
    <w:p w:rsidR="00DF4011" w:rsidRPr="0069388D" w:rsidRDefault="00DF4011" w:rsidP="00DF4011">
      <w:pPr>
        <w:spacing w:after="150"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 following adverse drug reactions have been reported in the post-marketing setting for theophylline. Frequencies of “not known” have been assigned as accurate frequencies cannot be estimated from the available clinical trial data.</w:t>
      </w:r>
    </w:p>
    <w:tbl>
      <w:tblPr>
        <w:tblW w:w="10365"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4975"/>
        <w:gridCol w:w="5390"/>
      </w:tblGrid>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b/>
                <w:bCs/>
                <w:sz w:val="20"/>
                <w:szCs w:val="20"/>
                <w:lang w:eastAsia="en-IN"/>
              </w:rPr>
              <w:t>System Organ Class</w:t>
            </w: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b/>
                <w:bCs/>
                <w:sz w:val="20"/>
                <w:szCs w:val="20"/>
                <w:lang w:eastAsia="en-IN"/>
              </w:rPr>
              <w:t>Frequency not known (cannot be estimated from the available data)</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Immune system disorders</w:t>
            </w: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Anaphylactic reaction</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roofErr w:type="spellStart"/>
            <w:r w:rsidRPr="0069388D">
              <w:rPr>
                <w:rFonts w:ascii="Arial" w:eastAsia="Times New Roman" w:hAnsi="Arial" w:cs="Arial"/>
                <w:sz w:val="20"/>
                <w:szCs w:val="20"/>
                <w:lang w:eastAsia="en-IN"/>
              </w:rPr>
              <w:t>Anaphylactoid</w:t>
            </w:r>
            <w:proofErr w:type="spellEnd"/>
            <w:r w:rsidRPr="0069388D">
              <w:rPr>
                <w:rFonts w:ascii="Arial" w:eastAsia="Times New Roman" w:hAnsi="Arial" w:cs="Arial"/>
                <w:sz w:val="20"/>
                <w:szCs w:val="20"/>
                <w:lang w:eastAsia="en-IN"/>
              </w:rPr>
              <w:t xml:space="preserve"> reaction</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Hypersensitivity</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Metabolism and nutrition disorders</w:t>
            </w: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roofErr w:type="spellStart"/>
            <w:r w:rsidRPr="0069388D">
              <w:rPr>
                <w:rFonts w:ascii="Arial" w:eastAsia="Times New Roman" w:hAnsi="Arial" w:cs="Arial"/>
                <w:sz w:val="20"/>
                <w:szCs w:val="20"/>
                <w:lang w:eastAsia="en-IN"/>
              </w:rPr>
              <w:t>Hyperuricaemia</w:t>
            </w:r>
            <w:proofErr w:type="spellEnd"/>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Psychiatric disorders</w:t>
            </w: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Agitation</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Anxiety</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Insomnia</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Sleep disorder</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Nervous system disorders</w:t>
            </w: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Convulsions</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Dizziness</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Headache</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Tremor</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Cardiac disorders</w:t>
            </w: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Atrial tachycardia</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Palpitations</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Sinus tachycardia</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Gastrointestinal disorders</w:t>
            </w: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Abdominal pain</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Diarrhoea</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Gastric irritation</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Gastro-oesophageal reflux</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Nausea</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Vomiting</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Skin and subcutaneous tissue disorders</w:t>
            </w: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Pruritus</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Rash</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Renal and urinary disorders</w:t>
            </w: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Diuresis</w:t>
            </w:r>
          </w:p>
        </w:tc>
      </w:tr>
      <w:tr w:rsidR="00DF4011" w:rsidRPr="0069388D" w:rsidTr="000A5A3B">
        <w:tc>
          <w:tcPr>
            <w:tcW w:w="24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p>
        </w:tc>
        <w:tc>
          <w:tcPr>
            <w:tcW w:w="2600" w:type="pct"/>
            <w:tcBorders>
              <w:top w:val="outset" w:sz="6" w:space="0" w:color="7B7B7B"/>
              <w:left w:val="outset" w:sz="6" w:space="0" w:color="7B7B7B"/>
              <w:bottom w:val="outset" w:sz="6" w:space="0" w:color="7B7B7B"/>
              <w:right w:val="outset" w:sz="6" w:space="0" w:color="7B7B7B"/>
            </w:tcBorders>
            <w:shd w:val="clear" w:color="auto" w:fill="auto"/>
            <w:hideMark/>
          </w:tcPr>
          <w:p w:rsidR="00DF4011" w:rsidRPr="0069388D" w:rsidRDefault="00DF4011" w:rsidP="000A5A3B">
            <w:pPr>
              <w:spacing w:after="0" w:line="240" w:lineRule="auto"/>
              <w:rPr>
                <w:rFonts w:ascii="Arial" w:eastAsia="Times New Roman" w:hAnsi="Arial" w:cs="Arial"/>
                <w:sz w:val="20"/>
                <w:szCs w:val="20"/>
                <w:lang w:eastAsia="en-IN"/>
              </w:rPr>
            </w:pPr>
            <w:r w:rsidRPr="0069388D">
              <w:rPr>
                <w:rFonts w:ascii="Arial" w:eastAsia="Times New Roman" w:hAnsi="Arial" w:cs="Arial"/>
                <w:sz w:val="20"/>
                <w:szCs w:val="20"/>
                <w:lang w:eastAsia="en-IN"/>
              </w:rPr>
              <w:t>Urinary retention*</w:t>
            </w:r>
          </w:p>
        </w:tc>
      </w:tr>
    </w:tbl>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Please refer to section 4.4 as theophylline may induce urinary retention in elderly males with pre-existing partial urinary tract obstruction.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b/>
          <w:bCs/>
          <w:color w:val="000000"/>
          <w:sz w:val="19"/>
          <w:szCs w:val="19"/>
          <w:lang w:eastAsia="en-IN"/>
        </w:rPr>
        <w:t>Reporting of adverse reactions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Reporting suspected adverse reactions after authorisation of the medicinal product is important. It allows continued monitoring of the benefit/risk balance of the medicinal product. Healthcare professionals are asked to report any suspected adverse reactions via the Yellow Card Scheme at: www.mhra.gov.uk/yellowcard.</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4.9 Overdose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Theophylline has a low therapeutic index. Theophylline toxicity is most likely to occur when serum concentrations exceed 20 micrograms/ml and becomes progressively more severe at higher serum concentrations.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Over 3 g could be serious in an adult (40 mg/kg in a child). The fatal dose may be as little as 4.5 g in an adult (60 mg/kg in a child), but is generally higher.</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Symptoms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Warning: Serious features may develop as long as 12 hours after </w:t>
      </w:r>
      <w:proofErr w:type="spellStart"/>
      <w:r w:rsidRPr="0069388D">
        <w:rPr>
          <w:rFonts w:ascii="Arial" w:eastAsia="Times New Roman" w:hAnsi="Arial" w:cs="Arial"/>
          <w:color w:val="000000"/>
          <w:sz w:val="19"/>
          <w:szCs w:val="19"/>
          <w:lang w:eastAsia="en-IN"/>
        </w:rPr>
        <w:t>overdosage</w:t>
      </w:r>
      <w:proofErr w:type="spellEnd"/>
      <w:r w:rsidRPr="0069388D">
        <w:rPr>
          <w:rFonts w:ascii="Arial" w:eastAsia="Times New Roman" w:hAnsi="Arial" w:cs="Arial"/>
          <w:color w:val="000000"/>
          <w:sz w:val="19"/>
          <w:szCs w:val="19"/>
          <w:lang w:eastAsia="en-IN"/>
        </w:rPr>
        <w:t xml:space="preserve"> with prolonged release formulations.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i/>
          <w:iCs/>
          <w:color w:val="000000"/>
          <w:sz w:val="19"/>
          <w:szCs w:val="19"/>
          <w:lang w:eastAsia="en-IN"/>
        </w:rPr>
        <w:t>Alimentary symptoms: </w:t>
      </w:r>
      <w:r w:rsidRPr="0069388D">
        <w:rPr>
          <w:rFonts w:ascii="Arial" w:eastAsia="Times New Roman" w:hAnsi="Arial" w:cs="Arial"/>
          <w:color w:val="000000"/>
          <w:sz w:val="19"/>
          <w:szCs w:val="19"/>
          <w:lang w:eastAsia="en-IN"/>
        </w:rPr>
        <w:t xml:space="preserve">Nausea, vomiting (which is often severe), </w:t>
      </w:r>
      <w:proofErr w:type="spellStart"/>
      <w:r w:rsidRPr="0069388D">
        <w:rPr>
          <w:rFonts w:ascii="Arial" w:eastAsia="Times New Roman" w:hAnsi="Arial" w:cs="Arial"/>
          <w:color w:val="000000"/>
          <w:sz w:val="19"/>
          <w:szCs w:val="19"/>
          <w:lang w:eastAsia="en-IN"/>
        </w:rPr>
        <w:t>epigastric</w:t>
      </w:r>
      <w:proofErr w:type="spellEnd"/>
      <w:r w:rsidRPr="0069388D">
        <w:rPr>
          <w:rFonts w:ascii="Arial" w:eastAsia="Times New Roman" w:hAnsi="Arial" w:cs="Arial"/>
          <w:color w:val="000000"/>
          <w:sz w:val="19"/>
          <w:szCs w:val="19"/>
          <w:lang w:eastAsia="en-IN"/>
        </w:rPr>
        <w:t xml:space="preserve"> pain and </w:t>
      </w:r>
      <w:proofErr w:type="spellStart"/>
      <w:r w:rsidRPr="0069388D">
        <w:rPr>
          <w:rFonts w:ascii="Arial" w:eastAsia="Times New Roman" w:hAnsi="Arial" w:cs="Arial"/>
          <w:color w:val="000000"/>
          <w:sz w:val="19"/>
          <w:szCs w:val="19"/>
          <w:lang w:eastAsia="en-IN"/>
        </w:rPr>
        <w:t>haematemesis</w:t>
      </w:r>
      <w:proofErr w:type="spellEnd"/>
      <w:r w:rsidRPr="0069388D">
        <w:rPr>
          <w:rFonts w:ascii="Arial" w:eastAsia="Times New Roman" w:hAnsi="Arial" w:cs="Arial"/>
          <w:color w:val="000000"/>
          <w:sz w:val="19"/>
          <w:szCs w:val="19"/>
          <w:lang w:eastAsia="en-IN"/>
        </w:rPr>
        <w:t>. Consider pancreatitis if abdominal pain persists.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i/>
          <w:iCs/>
          <w:color w:val="000000"/>
          <w:sz w:val="19"/>
          <w:szCs w:val="19"/>
          <w:lang w:eastAsia="en-IN"/>
        </w:rPr>
        <w:t>Neurological symptoms</w:t>
      </w:r>
      <w:r w:rsidRPr="0069388D">
        <w:rPr>
          <w:rFonts w:ascii="Arial" w:eastAsia="Times New Roman" w:hAnsi="Arial" w:cs="Arial"/>
          <w:color w:val="000000"/>
          <w:sz w:val="19"/>
          <w:szCs w:val="19"/>
          <w:lang w:eastAsia="en-IN"/>
        </w:rPr>
        <w:t>: Restlessness, hypertonia, exaggerated limb reflexes, convulsions, seizures. Coma may develop in very severe cases.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i/>
          <w:iCs/>
          <w:color w:val="000000"/>
          <w:sz w:val="19"/>
          <w:szCs w:val="19"/>
          <w:lang w:eastAsia="en-IN"/>
        </w:rPr>
        <w:t>Cardiovascular symptoms</w:t>
      </w:r>
      <w:r w:rsidRPr="0069388D">
        <w:rPr>
          <w:rFonts w:ascii="Arial" w:eastAsia="Times New Roman" w:hAnsi="Arial" w:cs="Arial"/>
          <w:color w:val="000000"/>
          <w:sz w:val="19"/>
          <w:szCs w:val="19"/>
          <w:lang w:eastAsia="en-IN"/>
        </w:rPr>
        <w:t>: Hypotension. Sinus tachycardia is common. Ectopic beats and supraventricular and ventricular tachycardia may follow.</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i/>
          <w:iCs/>
          <w:color w:val="000000"/>
          <w:sz w:val="19"/>
          <w:szCs w:val="19"/>
          <w:lang w:eastAsia="en-IN"/>
        </w:rPr>
        <w:t>Metabolic symptoms</w:t>
      </w:r>
      <w:r w:rsidRPr="0069388D">
        <w:rPr>
          <w:rFonts w:ascii="Arial" w:eastAsia="Times New Roman" w:hAnsi="Arial" w:cs="Arial"/>
          <w:color w:val="000000"/>
          <w:sz w:val="19"/>
          <w:szCs w:val="19"/>
          <w:lang w:eastAsia="en-IN"/>
        </w:rPr>
        <w:t xml:space="preserve">: Hypokalaemia due to shift of potassium from plasma into cells is common, can develop rapidly and may be severe. Hyperglycaemia, hypomagnesaemia and metabolic acidosis may also occur. </w:t>
      </w:r>
      <w:proofErr w:type="spellStart"/>
      <w:r w:rsidRPr="0069388D">
        <w:rPr>
          <w:rFonts w:ascii="Arial" w:eastAsia="Times New Roman" w:hAnsi="Arial" w:cs="Arial"/>
          <w:color w:val="000000"/>
          <w:sz w:val="19"/>
          <w:szCs w:val="19"/>
          <w:lang w:eastAsia="en-IN"/>
        </w:rPr>
        <w:t>Rhabdomyolysis</w:t>
      </w:r>
      <w:proofErr w:type="spellEnd"/>
      <w:r w:rsidRPr="0069388D">
        <w:rPr>
          <w:rFonts w:ascii="Arial" w:eastAsia="Times New Roman" w:hAnsi="Arial" w:cs="Arial"/>
          <w:color w:val="000000"/>
          <w:sz w:val="19"/>
          <w:szCs w:val="19"/>
          <w:lang w:eastAsia="en-IN"/>
        </w:rPr>
        <w:t xml:space="preserve"> may also occur.</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Management</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Activated charcoal or gastric lavage should be considered if a significant overdose has been ingested within 1-2 hours. Repeated doses of activated charcoal given by mouth can enhance theophylline elimination. Measure the plasma potassium concentration urgently, repeat frequently and correct hypokalaemia. BEWARE! If large amounts of potassium have been given, serious hyperkalaemia may develop during recovery. If plasma potassium is low, then the plasma magnesium concentration should be measured as soon as possible.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In the treatment of ventricular arrhythmias, </w:t>
      </w:r>
      <w:proofErr w:type="spellStart"/>
      <w:r w:rsidRPr="0069388D">
        <w:rPr>
          <w:rFonts w:ascii="Arial" w:eastAsia="Times New Roman" w:hAnsi="Arial" w:cs="Arial"/>
          <w:color w:val="000000"/>
          <w:sz w:val="19"/>
          <w:szCs w:val="19"/>
          <w:lang w:eastAsia="en-IN"/>
        </w:rPr>
        <w:t>proconvulsant</w:t>
      </w:r>
      <w:proofErr w:type="spellEnd"/>
      <w:r w:rsidRPr="0069388D">
        <w:rPr>
          <w:rFonts w:ascii="Arial" w:eastAsia="Times New Roman" w:hAnsi="Arial" w:cs="Arial"/>
          <w:color w:val="000000"/>
          <w:sz w:val="19"/>
          <w:szCs w:val="19"/>
          <w:lang w:eastAsia="en-IN"/>
        </w:rPr>
        <w:t xml:space="preserve"> antiarrhythmic agents such as lignocaine (</w:t>
      </w:r>
      <w:proofErr w:type="spellStart"/>
      <w:r w:rsidRPr="0069388D">
        <w:rPr>
          <w:rFonts w:ascii="Arial" w:eastAsia="Times New Roman" w:hAnsi="Arial" w:cs="Arial"/>
          <w:color w:val="000000"/>
          <w:sz w:val="19"/>
          <w:szCs w:val="19"/>
          <w:lang w:eastAsia="en-IN"/>
        </w:rPr>
        <w:t>lidocaine</w:t>
      </w:r>
      <w:proofErr w:type="spellEnd"/>
      <w:r w:rsidRPr="0069388D">
        <w:rPr>
          <w:rFonts w:ascii="Arial" w:eastAsia="Times New Roman" w:hAnsi="Arial" w:cs="Arial"/>
          <w:color w:val="000000"/>
          <w:sz w:val="19"/>
          <w:szCs w:val="19"/>
          <w:lang w:eastAsia="en-IN"/>
        </w:rPr>
        <w:t>) should be avoided because of the risk of causing or exacerbating seizures.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Measure the plasma theophylline concentration regularly when severe poisoning is suspected, until concentrations are falling. Vomiting should be treated with an antiemetic such as metoclopramide or </w:t>
      </w:r>
      <w:proofErr w:type="spellStart"/>
      <w:r w:rsidRPr="0069388D">
        <w:rPr>
          <w:rFonts w:ascii="Arial" w:eastAsia="Times New Roman" w:hAnsi="Arial" w:cs="Arial"/>
          <w:color w:val="000000"/>
          <w:sz w:val="19"/>
          <w:szCs w:val="19"/>
          <w:lang w:eastAsia="en-IN"/>
        </w:rPr>
        <w:t>ondansetron</w:t>
      </w:r>
      <w:proofErr w:type="spellEnd"/>
      <w:r w:rsidRPr="0069388D">
        <w:rPr>
          <w:rFonts w:ascii="Arial" w:eastAsia="Times New Roman" w:hAnsi="Arial" w:cs="Arial"/>
          <w:color w:val="000000"/>
          <w:sz w:val="19"/>
          <w:szCs w:val="19"/>
          <w:lang w:eastAsia="en-IN"/>
        </w:rPr>
        <w:t>.</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Tachycardia with an adequate cardiac output is best left untreated. Beta-blockers may be given in extreme cases but not if the patient is asthmatic. Control isolated convulsions with intravenous diazepam. Exclude hypokalaemia as a cause.</w:t>
      </w:r>
    </w:p>
    <w:p w:rsidR="00DF4011" w:rsidRPr="0069388D" w:rsidRDefault="00DF4011" w:rsidP="00DF4011">
      <w:pPr>
        <w:spacing w:after="150" w:line="240" w:lineRule="auto"/>
        <w:rPr>
          <w:rFonts w:ascii="Arial" w:eastAsia="Times New Roman" w:hAnsi="Arial" w:cs="Arial"/>
          <w:b/>
          <w:bCs/>
          <w:color w:val="397360"/>
          <w:sz w:val="23"/>
          <w:szCs w:val="23"/>
          <w:lang w:eastAsia="en-IN"/>
        </w:rPr>
      </w:pPr>
      <w:r w:rsidRPr="0069388D">
        <w:rPr>
          <w:rFonts w:ascii="Arial" w:eastAsia="Times New Roman" w:hAnsi="Arial" w:cs="Arial"/>
          <w:b/>
          <w:bCs/>
          <w:color w:val="397360"/>
          <w:sz w:val="23"/>
          <w:szCs w:val="23"/>
          <w:lang w:eastAsia="en-IN"/>
        </w:rPr>
        <w:t>5. Pharmacological properties</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 xml:space="preserve">5.1 </w:t>
      </w:r>
      <w:proofErr w:type="spellStart"/>
      <w:r w:rsidRPr="0069388D">
        <w:rPr>
          <w:rFonts w:ascii="Arial" w:eastAsia="Times New Roman" w:hAnsi="Arial" w:cs="Arial"/>
          <w:b/>
          <w:bCs/>
          <w:color w:val="000000"/>
          <w:sz w:val="20"/>
          <w:szCs w:val="20"/>
          <w:lang w:eastAsia="en-IN"/>
        </w:rPr>
        <w:t>Pharmacodynamic</w:t>
      </w:r>
      <w:proofErr w:type="spellEnd"/>
      <w:r w:rsidRPr="0069388D">
        <w:rPr>
          <w:rFonts w:ascii="Arial" w:eastAsia="Times New Roman" w:hAnsi="Arial" w:cs="Arial"/>
          <w:b/>
          <w:bCs/>
          <w:color w:val="000000"/>
          <w:sz w:val="20"/>
          <w:szCs w:val="20"/>
          <w:lang w:eastAsia="en-IN"/>
        </w:rPr>
        <w:t xml:space="preserve"> properties</w:t>
      </w:r>
    </w:p>
    <w:p w:rsidR="00DF4011" w:rsidRPr="0069388D" w:rsidRDefault="00DF4011" w:rsidP="00DF4011">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 xml:space="preserve">     </w:t>
      </w:r>
      <w:proofErr w:type="spellStart"/>
      <w:r w:rsidRPr="0069388D">
        <w:rPr>
          <w:rFonts w:ascii="Arial" w:eastAsia="Times New Roman" w:hAnsi="Arial" w:cs="Arial"/>
          <w:color w:val="000000"/>
          <w:sz w:val="19"/>
          <w:szCs w:val="19"/>
          <w:lang w:eastAsia="en-IN"/>
        </w:rPr>
        <w:t>Pharmacotherapeutic</w:t>
      </w:r>
      <w:proofErr w:type="spellEnd"/>
      <w:r w:rsidRPr="0069388D">
        <w:rPr>
          <w:rFonts w:ascii="Arial" w:eastAsia="Times New Roman" w:hAnsi="Arial" w:cs="Arial"/>
          <w:color w:val="000000"/>
          <w:sz w:val="19"/>
          <w:szCs w:val="19"/>
          <w:lang w:eastAsia="en-IN"/>
        </w:rPr>
        <w:t xml:space="preserve"> group: Drugs for obstructive airways diseases, </w:t>
      </w:r>
      <w:proofErr w:type="spellStart"/>
      <w:r w:rsidRPr="0069388D">
        <w:rPr>
          <w:rFonts w:ascii="Arial" w:eastAsia="Times New Roman" w:hAnsi="Arial" w:cs="Arial"/>
          <w:color w:val="000000"/>
          <w:sz w:val="19"/>
          <w:szCs w:val="19"/>
          <w:lang w:eastAsia="en-IN"/>
        </w:rPr>
        <w:t>xanthines</w:t>
      </w:r>
      <w:proofErr w:type="spellEnd"/>
      <w:r w:rsidRPr="0069388D">
        <w:rPr>
          <w:rFonts w:ascii="Arial" w:eastAsia="Times New Roman" w:hAnsi="Arial" w:cs="Arial"/>
          <w:color w:val="000000"/>
          <w:sz w:val="19"/>
          <w:szCs w:val="19"/>
          <w:lang w:eastAsia="en-IN"/>
        </w:rPr>
        <w:t>.</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lastRenderedPageBreak/>
        <w:t>ATC code: R03D A05</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Aminophylline (theophylline) is a bronchodilator. In addition it affects the function of a number of cells involved in the inflammatory processes associated with asthma and chronic obstructive airways disease. Of most importance may be enhanced suppressor, T-lymphocyte activity and reduction of eosinophil and neutrophil function. These actions may contribute to an anti-inflammatory prophylactic activity in asthma and chronic obstructive airways disease.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Theophylline stimulates the myocardium and produces a diminution of venous pressure in congestive heart failure leading to marked increase in cardiac output.</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5.2 Pharmacokinetic properties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Absorption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Following oral administration of </w:t>
      </w:r>
      <w:r>
        <w:rPr>
          <w:rFonts w:ascii="Arial" w:eastAsia="Times New Roman" w:hAnsi="Arial" w:cs="Arial"/>
          <w:color w:val="000000"/>
          <w:sz w:val="19"/>
          <w:szCs w:val="19"/>
          <w:lang w:eastAsia="en-IN"/>
        </w:rPr>
        <w:t xml:space="preserve">Aminophylline </w:t>
      </w:r>
      <w:proofErr w:type="gramStart"/>
      <w:r>
        <w:rPr>
          <w:rFonts w:ascii="Arial" w:eastAsia="Times New Roman" w:hAnsi="Arial" w:cs="Arial"/>
          <w:color w:val="000000"/>
          <w:sz w:val="19"/>
          <w:szCs w:val="19"/>
          <w:lang w:eastAsia="en-IN"/>
        </w:rPr>
        <w:t>Tablets .</w:t>
      </w:r>
      <w:proofErr w:type="gramEnd"/>
      <w:r w:rsidRPr="0069388D">
        <w:rPr>
          <w:rFonts w:ascii="Arial" w:eastAsia="Times New Roman" w:hAnsi="Arial" w:cs="Arial"/>
          <w:color w:val="000000"/>
          <w:sz w:val="19"/>
          <w:szCs w:val="19"/>
          <w:lang w:eastAsia="en-IN"/>
        </w:rPr>
        <w:t xml:space="preserve"> </w:t>
      </w:r>
      <w:proofErr w:type="gramStart"/>
      <w:r w:rsidRPr="0069388D">
        <w:rPr>
          <w:rFonts w:ascii="Arial" w:eastAsia="Times New Roman" w:hAnsi="Arial" w:cs="Arial"/>
          <w:color w:val="000000"/>
          <w:sz w:val="19"/>
          <w:szCs w:val="19"/>
          <w:lang w:eastAsia="en-IN"/>
        </w:rPr>
        <w:t>the</w:t>
      </w:r>
      <w:proofErr w:type="gramEnd"/>
      <w:r w:rsidRPr="0069388D">
        <w:rPr>
          <w:rFonts w:ascii="Arial" w:eastAsia="Times New Roman" w:hAnsi="Arial" w:cs="Arial"/>
          <w:color w:val="000000"/>
          <w:sz w:val="19"/>
          <w:szCs w:val="19"/>
          <w:lang w:eastAsia="en-IN"/>
        </w:rPr>
        <w:t xml:space="preserve"> delivery of theophylline is controlled and at steady state, peak concentrations are typically seen after approximately 5 hours.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An effective plasma concentration is considered to be 5-12 micrograms/ml, although plasma concentrations up to 20 micrograms/ml may be necessary to achieve efficacy in some cases. Do not exceed 20 micrograms/ml.</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Distribution and Protein Binding</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Theophylline is distributed through all body compartments; approximately 60% is bound to plasma proteins.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Biotransformation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Theophylline is metabolised in the liver to 1, 3 </w:t>
      </w:r>
      <w:proofErr w:type="spellStart"/>
      <w:r w:rsidRPr="0069388D">
        <w:rPr>
          <w:rFonts w:ascii="Arial" w:eastAsia="Times New Roman" w:hAnsi="Arial" w:cs="Arial"/>
          <w:color w:val="000000"/>
          <w:sz w:val="19"/>
          <w:szCs w:val="19"/>
          <w:lang w:eastAsia="en-IN"/>
        </w:rPr>
        <w:t>dimethyluric</w:t>
      </w:r>
      <w:proofErr w:type="spellEnd"/>
      <w:r w:rsidRPr="0069388D">
        <w:rPr>
          <w:rFonts w:ascii="Arial" w:eastAsia="Times New Roman" w:hAnsi="Arial" w:cs="Arial"/>
          <w:color w:val="000000"/>
          <w:sz w:val="19"/>
          <w:szCs w:val="19"/>
          <w:lang w:eastAsia="en-IN"/>
        </w:rPr>
        <w:t xml:space="preserve"> acid, 1 </w:t>
      </w:r>
      <w:proofErr w:type="spellStart"/>
      <w:r w:rsidRPr="0069388D">
        <w:rPr>
          <w:rFonts w:ascii="Arial" w:eastAsia="Times New Roman" w:hAnsi="Arial" w:cs="Arial"/>
          <w:color w:val="000000"/>
          <w:sz w:val="19"/>
          <w:szCs w:val="19"/>
          <w:lang w:eastAsia="en-IN"/>
        </w:rPr>
        <w:t>methyluric</w:t>
      </w:r>
      <w:proofErr w:type="spellEnd"/>
      <w:r w:rsidRPr="0069388D">
        <w:rPr>
          <w:rFonts w:ascii="Arial" w:eastAsia="Times New Roman" w:hAnsi="Arial" w:cs="Arial"/>
          <w:color w:val="000000"/>
          <w:sz w:val="19"/>
          <w:szCs w:val="19"/>
          <w:lang w:eastAsia="en-IN"/>
        </w:rPr>
        <w:t xml:space="preserve"> acid and 3–</w:t>
      </w:r>
      <w:proofErr w:type="spellStart"/>
      <w:r w:rsidRPr="0069388D">
        <w:rPr>
          <w:rFonts w:ascii="Arial" w:eastAsia="Times New Roman" w:hAnsi="Arial" w:cs="Arial"/>
          <w:color w:val="000000"/>
          <w:sz w:val="19"/>
          <w:szCs w:val="19"/>
          <w:lang w:eastAsia="en-IN"/>
        </w:rPr>
        <w:t>methylxanthine</w:t>
      </w:r>
      <w:proofErr w:type="spellEnd"/>
      <w:r w:rsidRPr="0069388D">
        <w:rPr>
          <w:rFonts w:ascii="Arial" w:eastAsia="Times New Roman" w:hAnsi="Arial" w:cs="Arial"/>
          <w:color w:val="000000"/>
          <w:sz w:val="19"/>
          <w:szCs w:val="19"/>
          <w:lang w:eastAsia="en-IN"/>
        </w:rPr>
        <w:t>.</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Elimination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Theophylline and its metabolites are excreted mainly in the urine. Approximately 10% is excreted unchanged.</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Factors affecting clearance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 predominant factors which alter theophylline clearance are: age, body weight, diet, smoking habits, other drugs and cardiorespiratory or hepatic disease. Clearance is increased in children compared to values observed in adult subjects. Clearance decreases towards adult values in late teens.</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5.3 Preclinical safety data</w:t>
      </w:r>
    </w:p>
    <w:p w:rsidR="00DF4011" w:rsidRPr="0069388D" w:rsidRDefault="00DF4011" w:rsidP="00DF4011">
      <w:pPr>
        <w:spacing w:after="143" w:line="240" w:lineRule="auto"/>
        <w:rPr>
          <w:rFonts w:ascii="Arial" w:eastAsia="Times New Roman" w:hAnsi="Arial" w:cs="Arial"/>
          <w:color w:val="000000"/>
          <w:sz w:val="19"/>
          <w:szCs w:val="19"/>
          <w:lang w:eastAsia="en-IN"/>
        </w:rPr>
      </w:pPr>
      <w:proofErr w:type="spellStart"/>
      <w:r w:rsidRPr="0069388D">
        <w:rPr>
          <w:rFonts w:ascii="Arial" w:eastAsia="Times New Roman" w:hAnsi="Arial" w:cs="Arial"/>
          <w:color w:val="000000"/>
          <w:sz w:val="19"/>
          <w:szCs w:val="19"/>
          <w:u w:val="single"/>
          <w:lang w:eastAsia="en-IN"/>
        </w:rPr>
        <w:t>Genotoxicity</w:t>
      </w:r>
      <w:proofErr w:type="spellEnd"/>
      <w:r w:rsidRPr="0069388D">
        <w:rPr>
          <w:rFonts w:ascii="Arial" w:eastAsia="Times New Roman" w:hAnsi="Arial" w:cs="Arial"/>
          <w:color w:val="000000"/>
          <w:sz w:val="19"/>
          <w:szCs w:val="19"/>
          <w:u w:val="single"/>
          <w:lang w:eastAsia="en-IN"/>
        </w:rPr>
        <w:t xml:space="preserve"> and Carcinogenicity</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i/>
          <w:iCs/>
          <w:color w:val="000000"/>
          <w:sz w:val="19"/>
          <w:szCs w:val="19"/>
          <w:lang w:eastAsia="en-IN"/>
        </w:rPr>
        <w:t>In vitro</w:t>
      </w:r>
      <w:r w:rsidRPr="0069388D">
        <w:rPr>
          <w:rFonts w:ascii="Arial" w:eastAsia="Times New Roman" w:hAnsi="Arial" w:cs="Arial"/>
          <w:color w:val="000000"/>
          <w:sz w:val="19"/>
          <w:szCs w:val="19"/>
          <w:lang w:eastAsia="en-IN"/>
        </w:rPr>
        <w:t> and </w:t>
      </w:r>
      <w:r w:rsidRPr="0069388D">
        <w:rPr>
          <w:rFonts w:ascii="Arial" w:eastAsia="Times New Roman" w:hAnsi="Arial" w:cs="Arial"/>
          <w:i/>
          <w:iCs/>
          <w:color w:val="000000"/>
          <w:sz w:val="19"/>
          <w:szCs w:val="19"/>
          <w:lang w:eastAsia="en-IN"/>
        </w:rPr>
        <w:t>in vivo </w:t>
      </w:r>
      <w:r w:rsidRPr="0069388D">
        <w:rPr>
          <w:rFonts w:ascii="Arial" w:eastAsia="Times New Roman" w:hAnsi="Arial" w:cs="Arial"/>
          <w:color w:val="000000"/>
          <w:sz w:val="19"/>
          <w:szCs w:val="19"/>
          <w:lang w:eastAsia="en-IN"/>
        </w:rPr>
        <w:t xml:space="preserve">assays, have shown both positive and negative </w:t>
      </w:r>
      <w:proofErr w:type="spellStart"/>
      <w:r w:rsidRPr="0069388D">
        <w:rPr>
          <w:rFonts w:ascii="Arial" w:eastAsia="Times New Roman" w:hAnsi="Arial" w:cs="Arial"/>
          <w:color w:val="000000"/>
          <w:sz w:val="19"/>
          <w:szCs w:val="19"/>
          <w:lang w:eastAsia="en-IN"/>
        </w:rPr>
        <w:t>genotoxic</w:t>
      </w:r>
      <w:proofErr w:type="spellEnd"/>
      <w:r w:rsidRPr="0069388D">
        <w:rPr>
          <w:rFonts w:ascii="Arial" w:eastAsia="Times New Roman" w:hAnsi="Arial" w:cs="Arial"/>
          <w:color w:val="000000"/>
          <w:sz w:val="19"/>
          <w:szCs w:val="19"/>
          <w:lang w:eastAsia="en-IN"/>
        </w:rPr>
        <w:t xml:space="preserve"> results for theophylline. However, oral theophylline administered daily to rats and mice for 2 years did not show carcinogenicity. Therefore, it is unlikely that theophylline poses a carcinogenic risk in man.</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u w:val="single"/>
          <w:lang w:eastAsia="en-IN"/>
        </w:rPr>
        <w:t>Reproductive and Developmental Toxicity</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Theophylline has been shown to have effects upon the male reproductive system in rodents, but at doses considered in excess of the maximum human dose indicating little relevance to clinical use.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 xml:space="preserve">Several </w:t>
      </w:r>
      <w:proofErr w:type="spellStart"/>
      <w:r w:rsidRPr="0069388D">
        <w:rPr>
          <w:rFonts w:ascii="Arial" w:eastAsia="Times New Roman" w:hAnsi="Arial" w:cs="Arial"/>
          <w:color w:val="000000"/>
          <w:sz w:val="19"/>
          <w:szCs w:val="19"/>
          <w:lang w:eastAsia="en-IN"/>
        </w:rPr>
        <w:t>embryofetal</w:t>
      </w:r>
      <w:proofErr w:type="spellEnd"/>
      <w:r w:rsidRPr="0069388D">
        <w:rPr>
          <w:rFonts w:ascii="Arial" w:eastAsia="Times New Roman" w:hAnsi="Arial" w:cs="Arial"/>
          <w:color w:val="000000"/>
          <w:sz w:val="19"/>
          <w:szCs w:val="19"/>
          <w:lang w:eastAsia="en-IN"/>
        </w:rPr>
        <w:t xml:space="preserve"> development studies in rats, mice and rabbits have demonstrated developmental effects independent from maternal toxicity at high doses of theophylline. Therefore theophylline should be considered to have the potential for developmental toxicity in man.</w:t>
      </w:r>
    </w:p>
    <w:p w:rsidR="00DF4011" w:rsidRPr="0069388D" w:rsidRDefault="00DF4011" w:rsidP="00DF4011">
      <w:pPr>
        <w:spacing w:after="150" w:line="240" w:lineRule="auto"/>
        <w:rPr>
          <w:rFonts w:ascii="Arial" w:eastAsia="Times New Roman" w:hAnsi="Arial" w:cs="Arial"/>
          <w:b/>
          <w:bCs/>
          <w:color w:val="397360"/>
          <w:sz w:val="23"/>
          <w:szCs w:val="23"/>
          <w:lang w:eastAsia="en-IN"/>
        </w:rPr>
      </w:pPr>
      <w:r w:rsidRPr="0069388D">
        <w:rPr>
          <w:rFonts w:ascii="Arial" w:eastAsia="Times New Roman" w:hAnsi="Arial" w:cs="Arial"/>
          <w:b/>
          <w:bCs/>
          <w:color w:val="397360"/>
          <w:sz w:val="23"/>
          <w:szCs w:val="23"/>
          <w:lang w:eastAsia="en-IN"/>
        </w:rPr>
        <w:t>6. Pharmaceutical particulars</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6.1 List of excipients</w:t>
      </w:r>
    </w:p>
    <w:p w:rsidR="00DF4011" w:rsidRDefault="00DF4011" w:rsidP="00DF4011">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Maize Starch</w:t>
      </w:r>
    </w:p>
    <w:p w:rsidR="00DF4011" w:rsidRPr="0069388D" w:rsidRDefault="00DF4011" w:rsidP="00DF4011">
      <w:pPr>
        <w:spacing w:after="143" w:line="240" w:lineRule="auto"/>
        <w:rPr>
          <w:rFonts w:ascii="Arial" w:eastAsia="Times New Roman" w:hAnsi="Arial" w:cs="Arial"/>
          <w:color w:val="000000"/>
          <w:sz w:val="19"/>
          <w:szCs w:val="19"/>
          <w:lang w:eastAsia="en-IN"/>
        </w:rPr>
      </w:pPr>
      <w:proofErr w:type="spellStart"/>
      <w:r w:rsidRPr="0069388D">
        <w:rPr>
          <w:rFonts w:ascii="Arial" w:eastAsia="Times New Roman" w:hAnsi="Arial" w:cs="Arial"/>
          <w:color w:val="000000"/>
          <w:sz w:val="19"/>
          <w:szCs w:val="19"/>
          <w:lang w:eastAsia="en-IN"/>
        </w:rPr>
        <w:t>Cetostearyl</w:t>
      </w:r>
      <w:proofErr w:type="spellEnd"/>
      <w:r w:rsidRPr="0069388D">
        <w:rPr>
          <w:rFonts w:ascii="Arial" w:eastAsia="Times New Roman" w:hAnsi="Arial" w:cs="Arial"/>
          <w:color w:val="000000"/>
          <w:sz w:val="19"/>
          <w:szCs w:val="19"/>
          <w:lang w:eastAsia="en-IN"/>
        </w:rPr>
        <w:t xml:space="preserve"> Alcohol</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Purified Talc</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Magnesium Stearate</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6.2 Incompatibilities</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Not applicable.</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6.3 Shelf life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Three years</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lastRenderedPageBreak/>
        <w:t>6.4 Special precautions for storage</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Do not store above 25°C. Store in the original package.</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6.5 Nature and contents of container</w:t>
      </w:r>
    </w:p>
    <w:p w:rsidR="00DF4011" w:rsidRPr="0069388D" w:rsidRDefault="00DF4011" w:rsidP="00DF4011">
      <w:pPr>
        <w:spacing w:after="143" w:line="240" w:lineRule="auto"/>
        <w:rPr>
          <w:rFonts w:ascii="Arial" w:eastAsia="Times New Roman" w:hAnsi="Arial" w:cs="Arial"/>
          <w:color w:val="000000"/>
          <w:sz w:val="19"/>
          <w:szCs w:val="19"/>
          <w:lang w:eastAsia="en-IN"/>
        </w:rPr>
      </w:pPr>
      <w:r>
        <w:rPr>
          <w:rFonts w:ascii="Arial" w:eastAsia="Times New Roman" w:hAnsi="Arial" w:cs="Arial"/>
          <w:color w:val="000000"/>
          <w:sz w:val="19"/>
          <w:szCs w:val="19"/>
          <w:lang w:eastAsia="en-IN"/>
        </w:rPr>
        <w:t xml:space="preserve">1000 Tablets Packed in </w:t>
      </w:r>
      <w:proofErr w:type="spellStart"/>
      <w:r>
        <w:rPr>
          <w:rFonts w:ascii="Arial" w:eastAsia="Times New Roman" w:hAnsi="Arial" w:cs="Arial"/>
          <w:color w:val="000000"/>
          <w:sz w:val="19"/>
          <w:szCs w:val="19"/>
          <w:lang w:eastAsia="en-IN"/>
        </w:rPr>
        <w:t>a</w:t>
      </w:r>
      <w:proofErr w:type="spellEnd"/>
      <w:r>
        <w:rPr>
          <w:rFonts w:ascii="Arial" w:eastAsia="Times New Roman" w:hAnsi="Arial" w:cs="Arial"/>
          <w:color w:val="000000"/>
          <w:sz w:val="19"/>
          <w:szCs w:val="19"/>
          <w:lang w:eastAsia="en-IN"/>
        </w:rPr>
        <w:t xml:space="preserve"> Amber Coloured HDPE PET </w:t>
      </w:r>
      <w:proofErr w:type="gramStart"/>
      <w:r>
        <w:rPr>
          <w:rFonts w:ascii="Arial" w:eastAsia="Times New Roman" w:hAnsi="Arial" w:cs="Arial"/>
          <w:color w:val="000000"/>
          <w:sz w:val="19"/>
          <w:szCs w:val="19"/>
          <w:lang w:eastAsia="en-IN"/>
        </w:rPr>
        <w:t>Bottle .</w:t>
      </w:r>
      <w:proofErr w:type="gramEnd"/>
      <w:r w:rsidRPr="0069388D">
        <w:rPr>
          <w:rFonts w:ascii="Arial" w:eastAsia="Times New Roman" w:hAnsi="Arial" w:cs="Arial"/>
          <w:color w:val="000000"/>
          <w:sz w:val="19"/>
          <w:szCs w:val="19"/>
          <w:lang w:eastAsia="en-IN"/>
        </w:rPr>
        <w:t xml:space="preserve"> </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Not all pack sizes may be marketed.</w:t>
      </w:r>
    </w:p>
    <w:p w:rsidR="00DF4011" w:rsidRPr="0069388D" w:rsidRDefault="00DF4011" w:rsidP="00DF4011">
      <w:pPr>
        <w:spacing w:after="0" w:line="240" w:lineRule="auto"/>
        <w:rPr>
          <w:rFonts w:ascii="Arial" w:eastAsia="Times New Roman" w:hAnsi="Arial" w:cs="Arial"/>
          <w:b/>
          <w:bCs/>
          <w:color w:val="000000"/>
          <w:sz w:val="20"/>
          <w:szCs w:val="20"/>
          <w:lang w:eastAsia="en-IN"/>
        </w:rPr>
      </w:pPr>
      <w:r w:rsidRPr="0069388D">
        <w:rPr>
          <w:rFonts w:ascii="Arial" w:eastAsia="Times New Roman" w:hAnsi="Arial" w:cs="Arial"/>
          <w:b/>
          <w:bCs/>
          <w:color w:val="000000"/>
          <w:sz w:val="20"/>
          <w:szCs w:val="20"/>
          <w:lang w:eastAsia="en-IN"/>
        </w:rPr>
        <w:t>6.6 Special precautions for disposal and other handling</w:t>
      </w:r>
    </w:p>
    <w:p w:rsidR="00DF4011" w:rsidRPr="0069388D" w:rsidRDefault="00DF4011" w:rsidP="00DF4011">
      <w:pPr>
        <w:spacing w:after="143" w:line="240" w:lineRule="auto"/>
        <w:rPr>
          <w:rFonts w:ascii="Arial" w:eastAsia="Times New Roman" w:hAnsi="Arial" w:cs="Arial"/>
          <w:color w:val="000000"/>
          <w:sz w:val="19"/>
          <w:szCs w:val="19"/>
          <w:lang w:eastAsia="en-IN"/>
        </w:rPr>
      </w:pPr>
      <w:r w:rsidRPr="0069388D">
        <w:rPr>
          <w:rFonts w:ascii="Arial" w:eastAsia="Times New Roman" w:hAnsi="Arial" w:cs="Arial"/>
          <w:color w:val="000000"/>
          <w:sz w:val="19"/>
          <w:szCs w:val="19"/>
          <w:lang w:eastAsia="en-IN"/>
        </w:rPr>
        <w:t>No special requirements.</w:t>
      </w:r>
    </w:p>
    <w:p w:rsidR="00DF4011" w:rsidRDefault="00DF4011" w:rsidP="00DF4011">
      <w:pPr>
        <w:rPr>
          <w:rFonts w:ascii="Arial" w:eastAsia="Times New Roman" w:hAnsi="Arial" w:cs="Arial"/>
          <w:b/>
          <w:bCs/>
          <w:color w:val="397360"/>
          <w:sz w:val="23"/>
          <w:szCs w:val="23"/>
          <w:lang w:eastAsia="en-IN"/>
        </w:rPr>
      </w:pPr>
      <w:r>
        <w:rPr>
          <w:rFonts w:ascii="Arial" w:eastAsia="Times New Roman" w:hAnsi="Arial" w:cs="Arial"/>
          <w:b/>
          <w:bCs/>
          <w:color w:val="397360"/>
          <w:sz w:val="23"/>
          <w:szCs w:val="23"/>
          <w:lang w:eastAsia="en-IN"/>
        </w:rPr>
        <w:t xml:space="preserve">SOLE </w:t>
      </w:r>
      <w:proofErr w:type="gramStart"/>
      <w:r>
        <w:rPr>
          <w:rFonts w:ascii="Arial" w:eastAsia="Times New Roman" w:hAnsi="Arial" w:cs="Arial"/>
          <w:b/>
          <w:bCs/>
          <w:color w:val="397360"/>
          <w:sz w:val="23"/>
          <w:szCs w:val="23"/>
          <w:lang w:eastAsia="en-IN"/>
        </w:rPr>
        <w:t>AGENT :</w:t>
      </w:r>
      <w:proofErr w:type="gramEnd"/>
      <w:r>
        <w:rPr>
          <w:rFonts w:ascii="Arial" w:eastAsia="Times New Roman" w:hAnsi="Arial" w:cs="Arial"/>
          <w:b/>
          <w:bCs/>
          <w:color w:val="397360"/>
          <w:sz w:val="23"/>
          <w:szCs w:val="23"/>
          <w:lang w:eastAsia="en-IN"/>
        </w:rPr>
        <w:t xml:space="preserve"> </w:t>
      </w:r>
      <w:r>
        <w:rPr>
          <w:rFonts w:ascii="Arial" w:eastAsia="Times New Roman" w:hAnsi="Arial" w:cs="Arial"/>
          <w:b/>
          <w:bCs/>
          <w:color w:val="397360"/>
          <w:sz w:val="23"/>
          <w:szCs w:val="23"/>
          <w:lang w:eastAsia="en-IN"/>
        </w:rPr>
        <w:t xml:space="preserve">APHANTEE </w:t>
      </w:r>
      <w:r>
        <w:rPr>
          <w:rFonts w:ascii="Arial" w:eastAsia="Times New Roman" w:hAnsi="Arial" w:cs="Arial"/>
          <w:b/>
          <w:bCs/>
          <w:color w:val="397360"/>
          <w:sz w:val="23"/>
          <w:szCs w:val="23"/>
          <w:lang w:eastAsia="en-IN"/>
        </w:rPr>
        <w:t xml:space="preserve"> PHARMA </w:t>
      </w:r>
      <w:r>
        <w:rPr>
          <w:rFonts w:ascii="Arial" w:eastAsia="Times New Roman" w:hAnsi="Arial" w:cs="Arial"/>
          <w:b/>
          <w:bCs/>
          <w:color w:val="397360"/>
          <w:sz w:val="23"/>
          <w:szCs w:val="23"/>
          <w:lang w:eastAsia="en-IN"/>
        </w:rPr>
        <w:t xml:space="preserve">NIG. </w:t>
      </w:r>
      <w:r>
        <w:rPr>
          <w:rFonts w:ascii="Arial" w:eastAsia="Times New Roman" w:hAnsi="Arial" w:cs="Arial"/>
          <w:b/>
          <w:bCs/>
          <w:color w:val="397360"/>
          <w:sz w:val="23"/>
          <w:szCs w:val="23"/>
          <w:lang w:eastAsia="en-IN"/>
        </w:rPr>
        <w:t xml:space="preserve">LTD. </w:t>
      </w:r>
    </w:p>
    <w:p w:rsidR="00DF4011" w:rsidRDefault="00DF4011" w:rsidP="00DF4011">
      <w:r>
        <w:rPr>
          <w:rFonts w:ascii="Arial" w:eastAsia="Times New Roman" w:hAnsi="Arial" w:cs="Arial"/>
          <w:b/>
          <w:bCs/>
          <w:color w:val="397360"/>
          <w:sz w:val="23"/>
          <w:szCs w:val="23"/>
          <w:lang w:eastAsia="en-IN"/>
        </w:rPr>
        <w:t xml:space="preserve">NAFDAC REG. NO. : </w:t>
      </w:r>
    </w:p>
    <w:p w:rsidR="008352FC" w:rsidRDefault="008352FC">
      <w:bookmarkStart w:id="0" w:name="_GoBack"/>
      <w:bookmarkEnd w:id="0"/>
    </w:p>
    <w:sectPr w:rsidR="00835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8F"/>
    <w:rsid w:val="008352FC"/>
    <w:rsid w:val="00C9348F"/>
    <w:rsid w:val="00DF40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F1F24-5F44-4FB4-A747-05AD3DA5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dicinenet.com/smoking_and_quitting_smoking/article.htm" TargetMode="External"/><Relationship Id="rId4" Type="http://schemas.openxmlformats.org/officeDocument/2006/relationships/hyperlink" Target="https://www.medicines.org.uk/emc/product/1019/sm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2120</Words>
  <Characters>12089</Characters>
  <Application>Microsoft Office Word</Application>
  <DocSecurity>0</DocSecurity>
  <Lines>100</Lines>
  <Paragraphs>28</Paragraphs>
  <ScaleCrop>false</ScaleCrop>
  <Company/>
  <LinksUpToDate>false</LinksUpToDate>
  <CharactersWithSpaces>14181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2</cp:revision>
  <dcterms:created xsi:type="dcterms:W3CDTF">2020-12-08T11:16:00Z</dcterms:created>
  <dcterms:modified xsi:type="dcterms:W3CDTF">2020-12-08T11:16:00Z</dcterms:modified>
</cp:coreProperties>
</file>