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C6F" w:rsidRDefault="00AD3C6F" w:rsidP="00AD3C6F">
      <w:pPr>
        <w:shd w:val="clear" w:color="auto" w:fill="A3D4C5"/>
        <w:spacing w:before="225" w:line="240" w:lineRule="auto"/>
        <w:outlineLvl w:val="0"/>
        <w:rPr>
          <w:rFonts w:ascii="inherit" w:eastAsia="Times New Roman" w:hAnsi="inherit" w:cs="Times New Roman"/>
          <w:color w:val="3B3B3B"/>
          <w:kern w:val="36"/>
          <w:sz w:val="45"/>
          <w:szCs w:val="45"/>
          <w:lang w:eastAsia="en-IN"/>
        </w:rPr>
      </w:pPr>
      <w:r>
        <w:rPr>
          <w:rFonts w:ascii="inherit" w:eastAsia="Times New Roman" w:hAnsi="inherit" w:cs="Times New Roman"/>
          <w:color w:val="3B3B3B"/>
          <w:kern w:val="36"/>
          <w:sz w:val="45"/>
          <w:szCs w:val="45"/>
          <w:lang w:eastAsia="en-IN"/>
        </w:rPr>
        <w:t xml:space="preserve">NCI </w:t>
      </w:r>
    </w:p>
    <w:p w:rsidR="00AD3C6F" w:rsidRPr="00AD3C6F" w:rsidRDefault="00AD3C6F" w:rsidP="00AD3C6F">
      <w:pPr>
        <w:shd w:val="clear" w:color="auto" w:fill="A3D4C5"/>
        <w:spacing w:before="225" w:line="240" w:lineRule="auto"/>
        <w:outlineLvl w:val="0"/>
        <w:rPr>
          <w:rFonts w:ascii="inherit" w:eastAsia="Times New Roman" w:hAnsi="inherit" w:cs="Times New Roman"/>
          <w:color w:val="3B3B3B"/>
          <w:kern w:val="36"/>
          <w:sz w:val="45"/>
          <w:szCs w:val="45"/>
          <w:lang w:eastAsia="en-IN"/>
        </w:rPr>
      </w:pPr>
      <w:r w:rsidRPr="00AD3C6F">
        <w:rPr>
          <w:rFonts w:ascii="inherit" w:eastAsia="Times New Roman" w:hAnsi="inherit" w:cs="Times New Roman"/>
          <w:color w:val="3B3B3B"/>
          <w:kern w:val="36"/>
          <w:sz w:val="45"/>
          <w:szCs w:val="45"/>
          <w:lang w:eastAsia="en-IN"/>
        </w:rPr>
        <w:t>Amlodipine 5mg Tablets</w:t>
      </w:r>
    </w:p>
    <w:p w:rsidR="00AD3C6F" w:rsidRDefault="00AD3C6F" w:rsidP="00AD3C6F">
      <w:pPr>
        <w:spacing w:after="150" w:line="240" w:lineRule="auto"/>
        <w:rPr>
          <w:rFonts w:ascii="Arial" w:eastAsia="Times New Roman" w:hAnsi="Arial" w:cs="Arial"/>
          <w:color w:val="000000"/>
          <w:lang w:eastAsia="en-IN"/>
        </w:rPr>
      </w:pPr>
    </w:p>
    <w:p w:rsidR="00AD3C6F" w:rsidRPr="00AD3C6F" w:rsidRDefault="00AD3C6F" w:rsidP="00AD3C6F">
      <w:pPr>
        <w:spacing w:after="150" w:line="240" w:lineRule="auto"/>
        <w:rPr>
          <w:rFonts w:ascii="Arial" w:eastAsia="Times New Roman" w:hAnsi="Arial" w:cs="Arial"/>
          <w:b/>
          <w:bCs/>
          <w:color w:val="397360"/>
          <w:sz w:val="26"/>
          <w:szCs w:val="26"/>
          <w:lang w:eastAsia="en-IN"/>
        </w:rPr>
      </w:pPr>
      <w:r w:rsidRPr="00AD3C6F">
        <w:rPr>
          <w:rFonts w:ascii="Arial" w:eastAsia="Times New Roman" w:hAnsi="Arial" w:cs="Arial"/>
          <w:b/>
          <w:bCs/>
          <w:color w:val="397360"/>
          <w:sz w:val="26"/>
          <w:szCs w:val="26"/>
          <w:lang w:eastAsia="en-IN"/>
        </w:rPr>
        <w:t>1. Name of the medicinal product</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Amlodipine 5mg Tablets</w:t>
      </w:r>
    </w:p>
    <w:p w:rsidR="00AD3C6F" w:rsidRPr="00AD3C6F" w:rsidRDefault="00AD3C6F" w:rsidP="00AD3C6F">
      <w:pPr>
        <w:spacing w:after="150" w:line="240" w:lineRule="auto"/>
        <w:rPr>
          <w:rFonts w:ascii="Arial" w:eastAsia="Times New Roman" w:hAnsi="Arial" w:cs="Arial"/>
          <w:b/>
          <w:bCs/>
          <w:color w:val="397360"/>
          <w:sz w:val="26"/>
          <w:szCs w:val="26"/>
          <w:lang w:eastAsia="en-IN"/>
        </w:rPr>
      </w:pPr>
      <w:r w:rsidRPr="00AD3C6F">
        <w:rPr>
          <w:rFonts w:ascii="Arial" w:eastAsia="Times New Roman" w:hAnsi="Arial" w:cs="Arial"/>
          <w:b/>
          <w:bCs/>
          <w:color w:val="397360"/>
          <w:sz w:val="26"/>
          <w:szCs w:val="26"/>
          <w:lang w:eastAsia="en-IN"/>
        </w:rPr>
        <w:t>2. Qualitative and quantitative composition</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 xml:space="preserve">Each tablet contains 6.94 mg amlodipine </w:t>
      </w:r>
      <w:proofErr w:type="spellStart"/>
      <w:r w:rsidRPr="00AD3C6F">
        <w:rPr>
          <w:rFonts w:ascii="Arial" w:eastAsia="Times New Roman" w:hAnsi="Arial" w:cs="Arial"/>
          <w:lang w:eastAsia="en-IN"/>
        </w:rPr>
        <w:t>besilate</w:t>
      </w:r>
      <w:proofErr w:type="spellEnd"/>
      <w:r w:rsidRPr="00AD3C6F">
        <w:rPr>
          <w:rFonts w:ascii="Arial" w:eastAsia="Times New Roman" w:hAnsi="Arial" w:cs="Arial"/>
          <w:lang w:eastAsia="en-IN"/>
        </w:rPr>
        <w:t xml:space="preserve"> equivalent to 5 mg amlodipine</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u w:val="single"/>
          <w:lang w:eastAsia="en-IN"/>
        </w:rPr>
        <w:t>Excipients:</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For a full list of excipients, see section 6.1</w:t>
      </w:r>
    </w:p>
    <w:p w:rsidR="00AD3C6F" w:rsidRPr="00AD3C6F" w:rsidRDefault="00AD3C6F" w:rsidP="00AD3C6F">
      <w:pPr>
        <w:spacing w:after="150" w:line="240" w:lineRule="auto"/>
        <w:rPr>
          <w:rFonts w:ascii="Arial" w:eastAsia="Times New Roman" w:hAnsi="Arial" w:cs="Arial"/>
          <w:b/>
          <w:bCs/>
          <w:color w:val="397360"/>
          <w:sz w:val="26"/>
          <w:szCs w:val="26"/>
          <w:lang w:eastAsia="en-IN"/>
        </w:rPr>
      </w:pPr>
      <w:r w:rsidRPr="00AD3C6F">
        <w:rPr>
          <w:rFonts w:ascii="Arial" w:eastAsia="Times New Roman" w:hAnsi="Arial" w:cs="Arial"/>
          <w:b/>
          <w:bCs/>
          <w:color w:val="397360"/>
          <w:sz w:val="26"/>
          <w:szCs w:val="26"/>
          <w:lang w:eastAsia="en-IN"/>
        </w:rPr>
        <w:t>3. Pharmaceutical form</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u w:val="single"/>
          <w:lang w:eastAsia="en-IN"/>
        </w:rPr>
        <w:t>Tablet</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 xml:space="preserve">5 mg </w:t>
      </w:r>
      <w:proofErr w:type="gramStart"/>
      <w:r w:rsidRPr="00AD3C6F">
        <w:rPr>
          <w:rFonts w:ascii="Arial" w:eastAsia="Times New Roman" w:hAnsi="Arial" w:cs="Arial"/>
          <w:lang w:eastAsia="en-IN"/>
        </w:rPr>
        <w:t>tablets :</w:t>
      </w:r>
      <w:proofErr w:type="gramEnd"/>
      <w:r w:rsidRPr="00AD3C6F">
        <w:rPr>
          <w:rFonts w:ascii="Arial" w:eastAsia="Times New Roman" w:hAnsi="Arial" w:cs="Arial"/>
          <w:lang w:eastAsia="en-IN"/>
        </w:rPr>
        <w:t xml:space="preserve"> “White to off white, </w:t>
      </w:r>
      <w:r>
        <w:rPr>
          <w:rFonts w:ascii="Arial" w:eastAsia="Times New Roman" w:hAnsi="Arial" w:cs="Arial"/>
          <w:lang w:eastAsia="en-IN"/>
        </w:rPr>
        <w:t xml:space="preserve">circular biconvex </w:t>
      </w:r>
      <w:r w:rsidRPr="00AD3C6F">
        <w:rPr>
          <w:rFonts w:ascii="Arial" w:eastAsia="Times New Roman" w:hAnsi="Arial" w:cs="Arial"/>
          <w:lang w:eastAsia="en-IN"/>
        </w:rPr>
        <w:t xml:space="preserve"> bevel edged tablet</w:t>
      </w:r>
      <w:r>
        <w:rPr>
          <w:rFonts w:ascii="Arial" w:eastAsia="Times New Roman" w:hAnsi="Arial" w:cs="Arial"/>
          <w:lang w:eastAsia="en-IN"/>
        </w:rPr>
        <w:t xml:space="preserve"> with </w:t>
      </w:r>
      <w:proofErr w:type="spellStart"/>
      <w:r>
        <w:rPr>
          <w:rFonts w:ascii="Arial" w:eastAsia="Times New Roman" w:hAnsi="Arial" w:cs="Arial"/>
          <w:lang w:eastAsia="en-IN"/>
        </w:rPr>
        <w:t>breakline</w:t>
      </w:r>
      <w:proofErr w:type="spellEnd"/>
      <w:r>
        <w:rPr>
          <w:rFonts w:ascii="Arial" w:eastAsia="Times New Roman" w:hAnsi="Arial" w:cs="Arial"/>
          <w:lang w:eastAsia="en-IN"/>
        </w:rPr>
        <w:t xml:space="preserve"> </w:t>
      </w:r>
      <w:r w:rsidRPr="00AD3C6F">
        <w:rPr>
          <w:rFonts w:ascii="Arial" w:eastAsia="Times New Roman" w:hAnsi="Arial" w:cs="Arial"/>
          <w:lang w:eastAsia="en-IN"/>
        </w:rPr>
        <w:t>on one side and plain on other side.</w:t>
      </w:r>
    </w:p>
    <w:p w:rsidR="00AD3C6F" w:rsidRPr="00AD3C6F" w:rsidRDefault="00AD3C6F" w:rsidP="00AD3C6F">
      <w:pPr>
        <w:spacing w:after="150" w:line="240" w:lineRule="auto"/>
        <w:rPr>
          <w:rFonts w:ascii="Arial" w:eastAsia="Times New Roman" w:hAnsi="Arial" w:cs="Arial"/>
          <w:b/>
          <w:bCs/>
          <w:color w:val="397360"/>
          <w:sz w:val="26"/>
          <w:szCs w:val="26"/>
          <w:lang w:eastAsia="en-IN"/>
        </w:rPr>
      </w:pPr>
      <w:r w:rsidRPr="00AD3C6F">
        <w:rPr>
          <w:rFonts w:ascii="Arial" w:eastAsia="Times New Roman" w:hAnsi="Arial" w:cs="Arial"/>
          <w:b/>
          <w:bCs/>
          <w:color w:val="397360"/>
          <w:sz w:val="26"/>
          <w:szCs w:val="26"/>
          <w:lang w:eastAsia="en-IN"/>
        </w:rPr>
        <w:t>4. Clinical particulars</w:t>
      </w:r>
    </w:p>
    <w:p w:rsidR="00AD3C6F" w:rsidRPr="00AD3C6F" w:rsidRDefault="00AD3C6F" w:rsidP="00AD3C6F">
      <w:pPr>
        <w:spacing w:after="0" w:line="240" w:lineRule="auto"/>
        <w:rPr>
          <w:rFonts w:ascii="Arial" w:eastAsia="Times New Roman" w:hAnsi="Arial" w:cs="Arial"/>
          <w:b/>
          <w:bCs/>
          <w:color w:val="000000"/>
          <w:sz w:val="20"/>
          <w:szCs w:val="20"/>
          <w:lang w:eastAsia="en-IN"/>
        </w:rPr>
      </w:pPr>
      <w:r w:rsidRPr="00AD3C6F">
        <w:rPr>
          <w:rFonts w:ascii="Arial" w:eastAsia="Times New Roman" w:hAnsi="Arial" w:cs="Arial"/>
          <w:b/>
          <w:bCs/>
          <w:color w:val="000000"/>
          <w:sz w:val="20"/>
          <w:szCs w:val="20"/>
          <w:lang w:eastAsia="en-IN"/>
        </w:rPr>
        <w:t>4.1 Therapeutic indications</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 Hypertension</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 Chronic stable angina pectoris.</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 xml:space="preserve">• </w:t>
      </w:r>
      <w:proofErr w:type="spellStart"/>
      <w:r w:rsidRPr="00AD3C6F">
        <w:rPr>
          <w:rFonts w:ascii="Arial" w:eastAsia="Times New Roman" w:hAnsi="Arial" w:cs="Arial"/>
          <w:lang w:eastAsia="en-IN"/>
        </w:rPr>
        <w:t>Vasospastic</w:t>
      </w:r>
      <w:proofErr w:type="spellEnd"/>
      <w:r w:rsidRPr="00AD3C6F">
        <w:rPr>
          <w:rFonts w:ascii="Arial" w:eastAsia="Times New Roman" w:hAnsi="Arial" w:cs="Arial"/>
          <w:lang w:eastAsia="en-IN"/>
        </w:rPr>
        <w:t xml:space="preserve"> (</w:t>
      </w:r>
      <w:proofErr w:type="spellStart"/>
      <w:r w:rsidRPr="00AD3C6F">
        <w:rPr>
          <w:rFonts w:ascii="Arial" w:eastAsia="Times New Roman" w:hAnsi="Arial" w:cs="Arial"/>
          <w:lang w:eastAsia="en-IN"/>
        </w:rPr>
        <w:t>Prinzmetal's</w:t>
      </w:r>
      <w:proofErr w:type="spellEnd"/>
      <w:r w:rsidRPr="00AD3C6F">
        <w:rPr>
          <w:rFonts w:ascii="Arial" w:eastAsia="Times New Roman" w:hAnsi="Arial" w:cs="Arial"/>
          <w:lang w:eastAsia="en-IN"/>
        </w:rPr>
        <w:t>) angina</w:t>
      </w:r>
    </w:p>
    <w:p w:rsidR="00AD3C6F" w:rsidRPr="00AD3C6F" w:rsidRDefault="00AD3C6F" w:rsidP="00AD3C6F">
      <w:pPr>
        <w:spacing w:after="0" w:line="240" w:lineRule="auto"/>
        <w:rPr>
          <w:rFonts w:ascii="Arial" w:eastAsia="Times New Roman" w:hAnsi="Arial" w:cs="Arial"/>
          <w:b/>
          <w:bCs/>
          <w:color w:val="000000"/>
          <w:sz w:val="20"/>
          <w:szCs w:val="20"/>
          <w:lang w:eastAsia="en-IN"/>
        </w:rPr>
      </w:pPr>
      <w:r w:rsidRPr="00AD3C6F">
        <w:rPr>
          <w:rFonts w:ascii="Arial" w:eastAsia="Times New Roman" w:hAnsi="Arial" w:cs="Arial"/>
          <w:b/>
          <w:bCs/>
          <w:color w:val="000000"/>
          <w:sz w:val="20"/>
          <w:szCs w:val="20"/>
          <w:lang w:eastAsia="en-IN"/>
        </w:rPr>
        <w:t>4.2 Posology and method of administration</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u w:val="single"/>
          <w:lang w:eastAsia="en-IN"/>
        </w:rPr>
        <w:t>Posology</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i/>
          <w:iCs/>
          <w:lang w:eastAsia="en-IN"/>
        </w:rPr>
        <w:t>Adults</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For both hypertension and angina the usual initial dose is 5 mg Amlodipine tablets once daily which may be increased to a maximum dose of 10 mg depending on the individual patient's response.</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 xml:space="preserve">In hypertensive patients, Amlodipine Tablets have been used in combination with a thiazide diuretic, alpha blocker, beta blocker, or an angiotensin converting enzyme inhibitor. For angina, amlodipine tablets may be used as </w:t>
      </w:r>
      <w:proofErr w:type="spellStart"/>
      <w:r w:rsidRPr="00AD3C6F">
        <w:rPr>
          <w:rFonts w:ascii="Arial" w:eastAsia="Times New Roman" w:hAnsi="Arial" w:cs="Arial"/>
          <w:lang w:eastAsia="en-IN"/>
        </w:rPr>
        <w:t>monotherapy</w:t>
      </w:r>
      <w:proofErr w:type="spellEnd"/>
      <w:r w:rsidRPr="00AD3C6F">
        <w:rPr>
          <w:rFonts w:ascii="Arial" w:eastAsia="Times New Roman" w:hAnsi="Arial" w:cs="Arial"/>
          <w:lang w:eastAsia="en-IN"/>
        </w:rPr>
        <w:t xml:space="preserve"> or in combination with other </w:t>
      </w:r>
      <w:proofErr w:type="spellStart"/>
      <w:r w:rsidRPr="00AD3C6F">
        <w:rPr>
          <w:rFonts w:ascii="Arial" w:eastAsia="Times New Roman" w:hAnsi="Arial" w:cs="Arial"/>
          <w:lang w:eastAsia="en-IN"/>
        </w:rPr>
        <w:t>antianginal</w:t>
      </w:r>
      <w:proofErr w:type="spellEnd"/>
      <w:r w:rsidRPr="00AD3C6F">
        <w:rPr>
          <w:rFonts w:ascii="Arial" w:eastAsia="Times New Roman" w:hAnsi="Arial" w:cs="Arial"/>
          <w:lang w:eastAsia="en-IN"/>
        </w:rPr>
        <w:t xml:space="preserve"> medicinal products in patients with angina that is refractory to nitrates and/or to adequate doses of beta blockers.</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No dose adjustment of Amlodipine tablets is required upon concomitant administration of thiazide diuretics, beta blockers, and angiotensin-converting enzyme inhibitors.</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u w:val="single"/>
          <w:lang w:eastAsia="en-IN"/>
        </w:rPr>
        <w:t>Special populations</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i/>
          <w:iCs/>
          <w:lang w:eastAsia="en-IN"/>
        </w:rPr>
        <w:t>Elderly</w:t>
      </w:r>
      <w:r w:rsidRPr="00AD3C6F">
        <w:rPr>
          <w:rFonts w:ascii="Arial" w:eastAsia="Times New Roman" w:hAnsi="Arial" w:cs="Arial"/>
          <w:lang w:eastAsia="en-IN"/>
        </w:rPr>
        <w:t> </w:t>
      </w:r>
      <w:r w:rsidRPr="00AD3C6F">
        <w:rPr>
          <w:rFonts w:ascii="Arial" w:eastAsia="Times New Roman" w:hAnsi="Arial" w:cs="Arial"/>
          <w:i/>
          <w:iCs/>
          <w:lang w:eastAsia="en-IN"/>
        </w:rPr>
        <w:t>patients</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Amlodipine tablets used at similar doses in elderly or younger patients is equally well tolerated. Normal dosage regimens are recommended in the elderly, but increase of the dosage should take place with care (see section 4.4 and 5.2).</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i/>
          <w:iCs/>
          <w:lang w:eastAsia="en-IN"/>
        </w:rPr>
        <w:t>Patients with hepatic impairment</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lastRenderedPageBreak/>
        <w:t xml:space="preserve">Dosage recommendations have not been established in patients with mild to moderate hepatic impairment; </w:t>
      </w:r>
      <w:proofErr w:type="gramStart"/>
      <w:r w:rsidRPr="00AD3C6F">
        <w:rPr>
          <w:rFonts w:ascii="Arial" w:eastAsia="Times New Roman" w:hAnsi="Arial" w:cs="Arial"/>
          <w:lang w:eastAsia="en-IN"/>
        </w:rPr>
        <w:t>therefore</w:t>
      </w:r>
      <w:proofErr w:type="gramEnd"/>
      <w:r w:rsidRPr="00AD3C6F">
        <w:rPr>
          <w:rFonts w:ascii="Arial" w:eastAsia="Times New Roman" w:hAnsi="Arial" w:cs="Arial"/>
          <w:lang w:eastAsia="en-IN"/>
        </w:rPr>
        <w:t xml:space="preserve"> dose selection should be cautious and should start at the lower end of the dosing range (see sections 4.4 and 5.2). The pharmacokinetics of amlodipine have not been studied in severe hepatic impairment. Amlodipine should be initiated at the lowest dose and titrated slowly in patients with severe hepatic impairment.</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i/>
          <w:iCs/>
          <w:lang w:eastAsia="en-IN"/>
        </w:rPr>
        <w:t>Patients with renal impairment</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 xml:space="preserve">Changes in amlodipine plasma concentrations are not correlated with degree of renal impairment, therefore the normal dosage is recommended. Amlodipine is not </w:t>
      </w:r>
      <w:proofErr w:type="spellStart"/>
      <w:r w:rsidRPr="00AD3C6F">
        <w:rPr>
          <w:rFonts w:ascii="Arial" w:eastAsia="Times New Roman" w:hAnsi="Arial" w:cs="Arial"/>
          <w:lang w:eastAsia="en-IN"/>
        </w:rPr>
        <w:t>dialysable</w:t>
      </w:r>
      <w:proofErr w:type="spellEnd"/>
      <w:r w:rsidRPr="00AD3C6F">
        <w:rPr>
          <w:rFonts w:ascii="Arial" w:eastAsia="Times New Roman" w:hAnsi="Arial" w:cs="Arial"/>
          <w:lang w:eastAsia="en-IN"/>
        </w:rPr>
        <w:t>.</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i/>
          <w:iCs/>
          <w:lang w:eastAsia="en-IN"/>
        </w:rPr>
        <w:t>Paediatric population</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Children and adolescents with hypertension from 6 years to 17 years of age.</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 xml:space="preserve">The recommended antihypertensive oral dose in paediatric </w:t>
      </w:r>
      <w:proofErr w:type="gramStart"/>
      <w:r w:rsidRPr="00AD3C6F">
        <w:rPr>
          <w:rFonts w:ascii="Arial" w:eastAsia="Times New Roman" w:hAnsi="Arial" w:cs="Arial"/>
          <w:lang w:eastAsia="en-IN"/>
        </w:rPr>
        <w:t>patients</w:t>
      </w:r>
      <w:proofErr w:type="gramEnd"/>
      <w:r w:rsidRPr="00AD3C6F">
        <w:rPr>
          <w:rFonts w:ascii="Arial" w:eastAsia="Times New Roman" w:hAnsi="Arial" w:cs="Arial"/>
          <w:lang w:eastAsia="en-IN"/>
        </w:rPr>
        <w:t xml:space="preserve"> ages 6-17 years is 2.5 mg once daily as a starting dose, up-titrated to 5 mg once daily if blood pressure goal is not achieved after 4 weeks. Doses in excess of 5 mg daily have not been studied in paediatric patients (see sections 5.1 and 5.2).</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The 2.5 mg dose cannot be obtained with Amlodipine tablets 5 mg as these tablets are not manufactured to break into two equal halves.</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i/>
          <w:iCs/>
          <w:lang w:eastAsia="en-IN"/>
        </w:rPr>
        <w:t>Children under 6 years old</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No data are available.</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u w:val="single"/>
          <w:lang w:eastAsia="en-IN"/>
        </w:rPr>
        <w:t>Method of administration</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Tablet for oral administration.</w:t>
      </w:r>
    </w:p>
    <w:p w:rsidR="00AD3C6F" w:rsidRPr="00AD3C6F" w:rsidRDefault="00AD3C6F" w:rsidP="00AD3C6F">
      <w:pPr>
        <w:spacing w:after="0" w:line="240" w:lineRule="auto"/>
        <w:rPr>
          <w:rFonts w:ascii="Arial" w:eastAsia="Times New Roman" w:hAnsi="Arial" w:cs="Arial"/>
          <w:b/>
          <w:bCs/>
          <w:color w:val="000000"/>
          <w:sz w:val="20"/>
          <w:szCs w:val="20"/>
          <w:lang w:eastAsia="en-IN"/>
        </w:rPr>
      </w:pPr>
      <w:r w:rsidRPr="00AD3C6F">
        <w:rPr>
          <w:rFonts w:ascii="Arial" w:eastAsia="Times New Roman" w:hAnsi="Arial" w:cs="Arial"/>
          <w:b/>
          <w:bCs/>
          <w:color w:val="000000"/>
          <w:sz w:val="20"/>
          <w:szCs w:val="20"/>
          <w:lang w:eastAsia="en-IN"/>
        </w:rPr>
        <w:t>4.3 Contraindications</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Amlodipine tablets are contraindicated in patients with:</w:t>
      </w:r>
    </w:p>
    <w:p w:rsidR="00AD3C6F" w:rsidRPr="00AD3C6F" w:rsidRDefault="00AD3C6F" w:rsidP="00AD3C6F">
      <w:pPr>
        <w:spacing w:after="143" w:line="240" w:lineRule="auto"/>
        <w:rPr>
          <w:rFonts w:ascii="Arial" w:eastAsia="Times New Roman" w:hAnsi="Arial" w:cs="Arial"/>
          <w:lang w:eastAsia="en-IN"/>
        </w:rPr>
      </w:pPr>
      <w:proofErr w:type="gramStart"/>
      <w:r w:rsidRPr="00AD3C6F">
        <w:rPr>
          <w:rFonts w:ascii="Arial" w:eastAsia="Times New Roman" w:hAnsi="Arial" w:cs="Arial"/>
          <w:lang w:eastAsia="en-IN"/>
        </w:rPr>
        <w:t>hypersensitivity</w:t>
      </w:r>
      <w:proofErr w:type="gramEnd"/>
      <w:r w:rsidRPr="00AD3C6F">
        <w:rPr>
          <w:rFonts w:ascii="Arial" w:eastAsia="Times New Roman" w:hAnsi="Arial" w:cs="Arial"/>
          <w:lang w:eastAsia="en-IN"/>
        </w:rPr>
        <w:t xml:space="preserve"> to </w:t>
      </w:r>
      <w:proofErr w:type="spellStart"/>
      <w:r w:rsidRPr="00AD3C6F">
        <w:rPr>
          <w:rFonts w:ascii="Arial" w:eastAsia="Times New Roman" w:hAnsi="Arial" w:cs="Arial"/>
          <w:lang w:eastAsia="en-IN"/>
        </w:rPr>
        <w:t>dihydropyridines</w:t>
      </w:r>
      <w:proofErr w:type="spellEnd"/>
      <w:r w:rsidRPr="00AD3C6F">
        <w:rPr>
          <w:rFonts w:ascii="Arial" w:eastAsia="Times New Roman" w:hAnsi="Arial" w:cs="Arial"/>
          <w:lang w:eastAsia="en-IN"/>
        </w:rPr>
        <w:t>, amlodipine or any of the excipients listed in section 6.1.</w:t>
      </w:r>
    </w:p>
    <w:p w:rsidR="00AD3C6F" w:rsidRPr="00AD3C6F" w:rsidRDefault="00AD3C6F" w:rsidP="00AD3C6F">
      <w:pPr>
        <w:spacing w:after="143" w:line="240" w:lineRule="auto"/>
        <w:rPr>
          <w:rFonts w:ascii="Arial" w:eastAsia="Times New Roman" w:hAnsi="Arial" w:cs="Arial"/>
          <w:lang w:eastAsia="en-IN"/>
        </w:rPr>
      </w:pPr>
      <w:proofErr w:type="gramStart"/>
      <w:r w:rsidRPr="00AD3C6F">
        <w:rPr>
          <w:rFonts w:ascii="Arial" w:eastAsia="Times New Roman" w:hAnsi="Arial" w:cs="Arial"/>
          <w:lang w:eastAsia="en-IN"/>
        </w:rPr>
        <w:t>severe</w:t>
      </w:r>
      <w:proofErr w:type="gramEnd"/>
      <w:r w:rsidRPr="00AD3C6F">
        <w:rPr>
          <w:rFonts w:ascii="Arial" w:eastAsia="Times New Roman" w:hAnsi="Arial" w:cs="Arial"/>
          <w:lang w:eastAsia="en-IN"/>
        </w:rPr>
        <w:t xml:space="preserve"> hypotension.</w:t>
      </w:r>
    </w:p>
    <w:p w:rsidR="00AD3C6F" w:rsidRPr="00AD3C6F" w:rsidRDefault="00AD3C6F" w:rsidP="00AD3C6F">
      <w:pPr>
        <w:spacing w:after="143" w:line="240" w:lineRule="auto"/>
        <w:rPr>
          <w:rFonts w:ascii="Arial" w:eastAsia="Times New Roman" w:hAnsi="Arial" w:cs="Arial"/>
          <w:lang w:eastAsia="en-IN"/>
        </w:rPr>
      </w:pPr>
      <w:proofErr w:type="gramStart"/>
      <w:r w:rsidRPr="00AD3C6F">
        <w:rPr>
          <w:rFonts w:ascii="Arial" w:eastAsia="Times New Roman" w:hAnsi="Arial" w:cs="Arial"/>
          <w:lang w:eastAsia="en-IN"/>
        </w:rPr>
        <w:t>shock</w:t>
      </w:r>
      <w:proofErr w:type="gramEnd"/>
      <w:r w:rsidRPr="00AD3C6F">
        <w:rPr>
          <w:rFonts w:ascii="Arial" w:eastAsia="Times New Roman" w:hAnsi="Arial" w:cs="Arial"/>
          <w:lang w:eastAsia="en-IN"/>
        </w:rPr>
        <w:t xml:space="preserve"> (including cardiogenic shock).</w:t>
      </w:r>
    </w:p>
    <w:p w:rsidR="00AD3C6F" w:rsidRPr="00AD3C6F" w:rsidRDefault="00AD3C6F" w:rsidP="00AD3C6F">
      <w:pPr>
        <w:spacing w:after="143" w:line="240" w:lineRule="auto"/>
        <w:rPr>
          <w:rFonts w:ascii="Arial" w:eastAsia="Times New Roman" w:hAnsi="Arial" w:cs="Arial"/>
          <w:lang w:eastAsia="en-IN"/>
        </w:rPr>
      </w:pPr>
      <w:proofErr w:type="gramStart"/>
      <w:r w:rsidRPr="00AD3C6F">
        <w:rPr>
          <w:rFonts w:ascii="Arial" w:eastAsia="Times New Roman" w:hAnsi="Arial" w:cs="Arial"/>
          <w:lang w:eastAsia="en-IN"/>
        </w:rPr>
        <w:t>obstruction</w:t>
      </w:r>
      <w:proofErr w:type="gramEnd"/>
      <w:r w:rsidRPr="00AD3C6F">
        <w:rPr>
          <w:rFonts w:ascii="Arial" w:eastAsia="Times New Roman" w:hAnsi="Arial" w:cs="Arial"/>
          <w:lang w:eastAsia="en-IN"/>
        </w:rPr>
        <w:t xml:space="preserve"> of the outflow tract of the left ventricle (e.g., high grade aortic stenosis).</w:t>
      </w:r>
    </w:p>
    <w:p w:rsidR="00AD3C6F" w:rsidRPr="00AD3C6F" w:rsidRDefault="00AD3C6F" w:rsidP="00AD3C6F">
      <w:pPr>
        <w:spacing w:after="143" w:line="240" w:lineRule="auto"/>
        <w:rPr>
          <w:rFonts w:ascii="Arial" w:eastAsia="Times New Roman" w:hAnsi="Arial" w:cs="Arial"/>
          <w:lang w:eastAsia="en-IN"/>
        </w:rPr>
      </w:pPr>
      <w:proofErr w:type="spellStart"/>
      <w:proofErr w:type="gramStart"/>
      <w:r w:rsidRPr="00AD3C6F">
        <w:rPr>
          <w:rFonts w:ascii="Arial" w:eastAsia="Times New Roman" w:hAnsi="Arial" w:cs="Arial"/>
          <w:lang w:eastAsia="en-IN"/>
        </w:rPr>
        <w:t>haemodynamically</w:t>
      </w:r>
      <w:proofErr w:type="spellEnd"/>
      <w:proofErr w:type="gramEnd"/>
      <w:r w:rsidRPr="00AD3C6F">
        <w:rPr>
          <w:rFonts w:ascii="Arial" w:eastAsia="Times New Roman" w:hAnsi="Arial" w:cs="Arial"/>
          <w:lang w:eastAsia="en-IN"/>
        </w:rPr>
        <w:t xml:space="preserve"> unstable heart failure after acute myocardial infarction.</w:t>
      </w:r>
    </w:p>
    <w:p w:rsidR="00AD3C6F" w:rsidRPr="00AD3C6F" w:rsidRDefault="00AD3C6F" w:rsidP="00AD3C6F">
      <w:pPr>
        <w:spacing w:after="0" w:line="240" w:lineRule="auto"/>
        <w:rPr>
          <w:rFonts w:ascii="Arial" w:eastAsia="Times New Roman" w:hAnsi="Arial" w:cs="Arial"/>
          <w:b/>
          <w:bCs/>
          <w:color w:val="000000"/>
          <w:sz w:val="20"/>
          <w:szCs w:val="20"/>
          <w:lang w:eastAsia="en-IN"/>
        </w:rPr>
      </w:pPr>
      <w:r w:rsidRPr="00AD3C6F">
        <w:rPr>
          <w:rFonts w:ascii="Arial" w:eastAsia="Times New Roman" w:hAnsi="Arial" w:cs="Arial"/>
          <w:b/>
          <w:bCs/>
          <w:color w:val="000000"/>
          <w:sz w:val="20"/>
          <w:szCs w:val="20"/>
          <w:lang w:eastAsia="en-IN"/>
        </w:rPr>
        <w:t>4.4 Special warnings and precautions for use</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The safety and efficacy of amlodipine in hypertensive crisis has not been established.</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u w:val="single"/>
          <w:lang w:eastAsia="en-IN"/>
        </w:rPr>
        <w:t>Patients with cardiac failure</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Patients with heart failure should be treated with caution. In a long-term, placebo controlled study in patients with severe heart failure (NYHA class III and IV) the reported incidence of pulmonary oedema was higher in the amlodipine treated group than in the placebo group (see section 5.1). Calcium channel blockers, including amlodipine, should be used with caution in patients with congestive heart failure, as they may increase the risk of future cardiovascular events and mortality.</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u w:val="single"/>
          <w:lang w:eastAsia="en-IN"/>
        </w:rPr>
        <w:t>Patients with hepatic impairment</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The half-life of amlodipine is prolonged and AUC values are higher in patients with impaired liver function; dosage recommendations have not been established. Amlodipine should therefore be initiated at the lower end of the dosing range and caution should be used, both on initial treatment and when increasing the dose. Slow dose titration and careful monitoring may be required in patients with severe hepatic impairment.</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u w:val="single"/>
          <w:lang w:eastAsia="en-IN"/>
        </w:rPr>
        <w:lastRenderedPageBreak/>
        <w:t>Elderly patients</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In the elderly increase of the dosage should take place with care (see sections 4.2 and 5.2).</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u w:val="single"/>
          <w:lang w:eastAsia="en-IN"/>
        </w:rPr>
        <w:t>Patients with renal impairment</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 xml:space="preserve">Amlodipine may be used in such patients at normal doses. Changes in amlodipine plasma concentrations are not correlated with degree of renal impairment. Amlodipine is not </w:t>
      </w:r>
      <w:proofErr w:type="spellStart"/>
      <w:r w:rsidRPr="00AD3C6F">
        <w:rPr>
          <w:rFonts w:ascii="Arial" w:eastAsia="Times New Roman" w:hAnsi="Arial" w:cs="Arial"/>
          <w:lang w:eastAsia="en-IN"/>
        </w:rPr>
        <w:t>dialysable</w:t>
      </w:r>
      <w:proofErr w:type="spellEnd"/>
      <w:r w:rsidRPr="00AD3C6F">
        <w:rPr>
          <w:rFonts w:ascii="Arial" w:eastAsia="Times New Roman" w:hAnsi="Arial" w:cs="Arial"/>
          <w:lang w:eastAsia="en-IN"/>
        </w:rPr>
        <w:t>.</w:t>
      </w:r>
    </w:p>
    <w:p w:rsidR="00AD3C6F" w:rsidRPr="00AD3C6F" w:rsidRDefault="00AD3C6F" w:rsidP="00AD3C6F">
      <w:pPr>
        <w:spacing w:after="0" w:line="240" w:lineRule="auto"/>
        <w:rPr>
          <w:rFonts w:ascii="Arial" w:eastAsia="Times New Roman" w:hAnsi="Arial" w:cs="Arial"/>
          <w:b/>
          <w:bCs/>
          <w:color w:val="000000"/>
          <w:sz w:val="20"/>
          <w:szCs w:val="20"/>
          <w:lang w:eastAsia="en-IN"/>
        </w:rPr>
      </w:pPr>
      <w:r w:rsidRPr="00AD3C6F">
        <w:rPr>
          <w:rFonts w:ascii="Arial" w:eastAsia="Times New Roman" w:hAnsi="Arial" w:cs="Arial"/>
          <w:b/>
          <w:bCs/>
          <w:color w:val="000000"/>
          <w:sz w:val="20"/>
          <w:szCs w:val="20"/>
          <w:lang w:eastAsia="en-IN"/>
        </w:rPr>
        <w:t>4.5 Interaction with other medicinal products and other forms of interaction</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u w:val="single"/>
          <w:lang w:eastAsia="en-IN"/>
        </w:rPr>
        <w:t>Effects of other medicinal products on amlodipine</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i/>
          <w:iCs/>
          <w:lang w:eastAsia="en-IN"/>
        </w:rPr>
        <w:t>CYP3A4 inhibitors</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 xml:space="preserve">Concomitant use of amlodipine with strong or moderate CYP3A4 inhibitors (protease inhibitors, azole antifungals, macrolides like erythromycin or clarithromycin, verapamil or </w:t>
      </w:r>
      <w:proofErr w:type="spellStart"/>
      <w:r w:rsidRPr="00AD3C6F">
        <w:rPr>
          <w:rFonts w:ascii="Arial" w:eastAsia="Times New Roman" w:hAnsi="Arial" w:cs="Arial"/>
          <w:lang w:eastAsia="en-IN"/>
        </w:rPr>
        <w:t>diltiazem</w:t>
      </w:r>
      <w:proofErr w:type="spellEnd"/>
      <w:r w:rsidRPr="00AD3C6F">
        <w:rPr>
          <w:rFonts w:ascii="Arial" w:eastAsia="Times New Roman" w:hAnsi="Arial" w:cs="Arial"/>
          <w:lang w:eastAsia="en-IN"/>
        </w:rPr>
        <w:t>) may give rise to significant increase in amlodipine exposure resulting in an increased risk of hypotension. The clinical translation of these PK variations may be more pronounced in the elderly. Clinical monitoring and dose adjustment may thus be required.</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i/>
          <w:iCs/>
          <w:lang w:eastAsia="en-IN"/>
        </w:rPr>
        <w:t>CYP3A4 inducers</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 xml:space="preserve">There is no data available regarding the effect of CYP3A4 inducers on amlodipine. The concomitant use of CYP3A4 inducers (e.g., rifampicin, </w:t>
      </w:r>
      <w:proofErr w:type="spellStart"/>
      <w:r w:rsidRPr="00AD3C6F">
        <w:rPr>
          <w:rFonts w:ascii="Arial" w:eastAsia="Times New Roman" w:hAnsi="Arial" w:cs="Arial"/>
          <w:lang w:eastAsia="en-IN"/>
        </w:rPr>
        <w:t>hypericum</w:t>
      </w:r>
      <w:proofErr w:type="spellEnd"/>
      <w:r w:rsidRPr="00AD3C6F">
        <w:rPr>
          <w:rFonts w:ascii="Arial" w:eastAsia="Times New Roman" w:hAnsi="Arial" w:cs="Arial"/>
          <w:lang w:eastAsia="en-IN"/>
        </w:rPr>
        <w:t xml:space="preserve"> </w:t>
      </w:r>
      <w:proofErr w:type="spellStart"/>
      <w:r w:rsidRPr="00AD3C6F">
        <w:rPr>
          <w:rFonts w:ascii="Arial" w:eastAsia="Times New Roman" w:hAnsi="Arial" w:cs="Arial"/>
          <w:lang w:eastAsia="en-IN"/>
        </w:rPr>
        <w:t>perforatum</w:t>
      </w:r>
      <w:proofErr w:type="spellEnd"/>
      <w:r w:rsidRPr="00AD3C6F">
        <w:rPr>
          <w:rFonts w:ascii="Arial" w:eastAsia="Times New Roman" w:hAnsi="Arial" w:cs="Arial"/>
          <w:lang w:eastAsia="en-IN"/>
        </w:rPr>
        <w:t>) may give a lower plasma concentration of amlodipine. Amlodipine should be used with caution together with CYP3A4 inducers.</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 xml:space="preserve">Administration of amlodipine with grapefruit or grapefruit juice is not recommended as bioavailability may be </w:t>
      </w:r>
      <w:proofErr w:type="gramStart"/>
      <w:r w:rsidRPr="00AD3C6F">
        <w:rPr>
          <w:rFonts w:ascii="Arial" w:eastAsia="Times New Roman" w:hAnsi="Arial" w:cs="Arial"/>
          <w:lang w:eastAsia="en-IN"/>
        </w:rPr>
        <w:t>Increased</w:t>
      </w:r>
      <w:proofErr w:type="gramEnd"/>
      <w:r w:rsidRPr="00AD3C6F">
        <w:rPr>
          <w:rFonts w:ascii="Arial" w:eastAsia="Times New Roman" w:hAnsi="Arial" w:cs="Arial"/>
          <w:lang w:eastAsia="en-IN"/>
        </w:rPr>
        <w:t xml:space="preserve"> in some patients resulting in increased blood pressure lowering effects.</w:t>
      </w:r>
    </w:p>
    <w:p w:rsidR="00AD3C6F" w:rsidRPr="00AD3C6F" w:rsidRDefault="00AD3C6F" w:rsidP="00AD3C6F">
      <w:pPr>
        <w:spacing w:after="143" w:line="240" w:lineRule="auto"/>
        <w:rPr>
          <w:rFonts w:ascii="Arial" w:eastAsia="Times New Roman" w:hAnsi="Arial" w:cs="Arial"/>
          <w:lang w:eastAsia="en-IN"/>
        </w:rPr>
      </w:pPr>
      <w:proofErr w:type="spellStart"/>
      <w:r w:rsidRPr="00AD3C6F">
        <w:rPr>
          <w:rFonts w:ascii="Arial" w:eastAsia="Times New Roman" w:hAnsi="Arial" w:cs="Arial"/>
          <w:i/>
          <w:iCs/>
          <w:lang w:eastAsia="en-IN"/>
        </w:rPr>
        <w:t>Dantrolene</w:t>
      </w:r>
      <w:proofErr w:type="spellEnd"/>
      <w:r w:rsidRPr="00AD3C6F">
        <w:rPr>
          <w:rFonts w:ascii="Arial" w:eastAsia="Times New Roman" w:hAnsi="Arial" w:cs="Arial"/>
          <w:i/>
          <w:iCs/>
          <w:lang w:eastAsia="en-IN"/>
        </w:rPr>
        <w:t xml:space="preserve"> (infusion)</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 xml:space="preserve">In animals, lethal ventricular fibrillation and cardiovascular collapse are observed in association with </w:t>
      </w:r>
      <w:proofErr w:type="spellStart"/>
      <w:r w:rsidRPr="00AD3C6F">
        <w:rPr>
          <w:rFonts w:ascii="Arial" w:eastAsia="Times New Roman" w:hAnsi="Arial" w:cs="Arial"/>
          <w:lang w:eastAsia="en-IN"/>
        </w:rPr>
        <w:t>hyperkalemia</w:t>
      </w:r>
      <w:proofErr w:type="spellEnd"/>
      <w:r w:rsidRPr="00AD3C6F">
        <w:rPr>
          <w:rFonts w:ascii="Arial" w:eastAsia="Times New Roman" w:hAnsi="Arial" w:cs="Arial"/>
          <w:lang w:eastAsia="en-IN"/>
        </w:rPr>
        <w:t xml:space="preserve"> after administration of verapamil and intravenous </w:t>
      </w:r>
      <w:proofErr w:type="spellStart"/>
      <w:r w:rsidRPr="00AD3C6F">
        <w:rPr>
          <w:rFonts w:ascii="Arial" w:eastAsia="Times New Roman" w:hAnsi="Arial" w:cs="Arial"/>
          <w:lang w:eastAsia="en-IN"/>
        </w:rPr>
        <w:t>dantrolene</w:t>
      </w:r>
      <w:proofErr w:type="spellEnd"/>
      <w:r w:rsidRPr="00AD3C6F">
        <w:rPr>
          <w:rFonts w:ascii="Arial" w:eastAsia="Times New Roman" w:hAnsi="Arial" w:cs="Arial"/>
          <w:lang w:eastAsia="en-IN"/>
        </w:rPr>
        <w:t xml:space="preserve">. Due to risk of </w:t>
      </w:r>
      <w:proofErr w:type="spellStart"/>
      <w:r w:rsidRPr="00AD3C6F">
        <w:rPr>
          <w:rFonts w:ascii="Arial" w:eastAsia="Times New Roman" w:hAnsi="Arial" w:cs="Arial"/>
          <w:lang w:eastAsia="en-IN"/>
        </w:rPr>
        <w:t>hyperkalemia</w:t>
      </w:r>
      <w:proofErr w:type="spellEnd"/>
      <w:r w:rsidRPr="00AD3C6F">
        <w:rPr>
          <w:rFonts w:ascii="Arial" w:eastAsia="Times New Roman" w:hAnsi="Arial" w:cs="Arial"/>
          <w:lang w:eastAsia="en-IN"/>
        </w:rPr>
        <w:t>, it is recommended that the co-administration of calcium channel blockers such as amlodipine be avoided in patients susceptible to malignant hyperthermia and in the management of malignant hyperthermia.</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u w:val="single"/>
          <w:lang w:eastAsia="en-IN"/>
        </w:rPr>
        <w:t>Effects of amlodipine on other medicinal products</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The blood pressure lowering effects of amlodipine adds to the blood pressure-lowering effects of other medicinal products with antihypertensive properties.</w:t>
      </w:r>
    </w:p>
    <w:p w:rsidR="00AD3C6F" w:rsidRPr="00AD3C6F" w:rsidRDefault="00AD3C6F" w:rsidP="00AD3C6F">
      <w:pPr>
        <w:spacing w:after="143" w:line="240" w:lineRule="auto"/>
        <w:rPr>
          <w:rFonts w:ascii="Arial" w:eastAsia="Times New Roman" w:hAnsi="Arial" w:cs="Arial"/>
          <w:lang w:eastAsia="en-IN"/>
        </w:rPr>
      </w:pPr>
      <w:proofErr w:type="spellStart"/>
      <w:r w:rsidRPr="00AD3C6F">
        <w:rPr>
          <w:rFonts w:ascii="Arial" w:eastAsia="Times New Roman" w:hAnsi="Arial" w:cs="Arial"/>
          <w:i/>
          <w:iCs/>
          <w:lang w:eastAsia="en-IN"/>
        </w:rPr>
        <w:t>Tacrolimus</w:t>
      </w:r>
      <w:proofErr w:type="spellEnd"/>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 xml:space="preserve">There is a risk of increased </w:t>
      </w:r>
      <w:proofErr w:type="spellStart"/>
      <w:r w:rsidRPr="00AD3C6F">
        <w:rPr>
          <w:rFonts w:ascii="Arial" w:eastAsia="Times New Roman" w:hAnsi="Arial" w:cs="Arial"/>
          <w:lang w:eastAsia="en-IN"/>
        </w:rPr>
        <w:t>tacrolimus</w:t>
      </w:r>
      <w:proofErr w:type="spellEnd"/>
      <w:r w:rsidRPr="00AD3C6F">
        <w:rPr>
          <w:rFonts w:ascii="Arial" w:eastAsia="Times New Roman" w:hAnsi="Arial" w:cs="Arial"/>
          <w:lang w:eastAsia="en-IN"/>
        </w:rPr>
        <w:t xml:space="preserve"> blood levels when co-administered with amlodipine but the pharmacokinetic mechanism of this interaction is not fully understood. In order to avoid toxicity of </w:t>
      </w:r>
      <w:proofErr w:type="spellStart"/>
      <w:r w:rsidRPr="00AD3C6F">
        <w:rPr>
          <w:rFonts w:ascii="Arial" w:eastAsia="Times New Roman" w:hAnsi="Arial" w:cs="Arial"/>
          <w:lang w:eastAsia="en-IN"/>
        </w:rPr>
        <w:t>tacrolimus</w:t>
      </w:r>
      <w:proofErr w:type="spellEnd"/>
      <w:r w:rsidRPr="00AD3C6F">
        <w:rPr>
          <w:rFonts w:ascii="Arial" w:eastAsia="Times New Roman" w:hAnsi="Arial" w:cs="Arial"/>
          <w:lang w:eastAsia="en-IN"/>
        </w:rPr>
        <w:t xml:space="preserve">, administration of amlodipine in a patient treated with </w:t>
      </w:r>
      <w:proofErr w:type="spellStart"/>
      <w:r w:rsidRPr="00AD3C6F">
        <w:rPr>
          <w:rFonts w:ascii="Arial" w:eastAsia="Times New Roman" w:hAnsi="Arial" w:cs="Arial"/>
          <w:lang w:eastAsia="en-IN"/>
        </w:rPr>
        <w:t>tacrolimus</w:t>
      </w:r>
      <w:proofErr w:type="spellEnd"/>
      <w:r w:rsidRPr="00AD3C6F">
        <w:rPr>
          <w:rFonts w:ascii="Arial" w:eastAsia="Times New Roman" w:hAnsi="Arial" w:cs="Arial"/>
          <w:lang w:eastAsia="en-IN"/>
        </w:rPr>
        <w:t xml:space="preserve"> requires monitoring of </w:t>
      </w:r>
      <w:proofErr w:type="spellStart"/>
      <w:r w:rsidRPr="00AD3C6F">
        <w:rPr>
          <w:rFonts w:ascii="Arial" w:eastAsia="Times New Roman" w:hAnsi="Arial" w:cs="Arial"/>
          <w:lang w:eastAsia="en-IN"/>
        </w:rPr>
        <w:t>tacrolimus</w:t>
      </w:r>
      <w:proofErr w:type="spellEnd"/>
      <w:r w:rsidRPr="00AD3C6F">
        <w:rPr>
          <w:rFonts w:ascii="Arial" w:eastAsia="Times New Roman" w:hAnsi="Arial" w:cs="Arial"/>
          <w:lang w:eastAsia="en-IN"/>
        </w:rPr>
        <w:t xml:space="preserve"> blood levels and dose adjustment of </w:t>
      </w:r>
      <w:proofErr w:type="spellStart"/>
      <w:r w:rsidRPr="00AD3C6F">
        <w:rPr>
          <w:rFonts w:ascii="Arial" w:eastAsia="Times New Roman" w:hAnsi="Arial" w:cs="Arial"/>
          <w:lang w:eastAsia="en-IN"/>
        </w:rPr>
        <w:t>tacrolimus</w:t>
      </w:r>
      <w:proofErr w:type="spellEnd"/>
      <w:r w:rsidRPr="00AD3C6F">
        <w:rPr>
          <w:rFonts w:ascii="Arial" w:eastAsia="Times New Roman" w:hAnsi="Arial" w:cs="Arial"/>
          <w:lang w:eastAsia="en-IN"/>
        </w:rPr>
        <w:t xml:space="preserve"> when appropriate.</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i/>
          <w:iCs/>
          <w:lang w:eastAsia="en-IN"/>
        </w:rPr>
        <w:t>Cyclosporine</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No drug interaction studies have been conducted with cyclosporine and amlodipine in healthy volunteers or other populations with the exception of renal transplant patients, where variable trough concentration increases (average 0% - 40%) of cyclosporine were observed. Consideration should be given for monitoring cyclosporine levels in renal transplant patients on amlodipine, and cyclosporine dose reductions should be made as necessary.</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i/>
          <w:iCs/>
          <w:lang w:eastAsia="en-IN"/>
        </w:rPr>
        <w:t>Simvastatin</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lastRenderedPageBreak/>
        <w:t>Co-administration of multiple doses of 10 mg of amlodipine with 80 mg simvastatin resulted in a 77% increase in exposure to simvastatin compared to simvastatin alone. Limit the dose of simvastatin in patients on amlodipine to 20 mg daily.</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In clinical interaction studies, amlodipine did not affect the pharmacokinetics of atorvastatin, digoxin or warfarin.</w:t>
      </w:r>
    </w:p>
    <w:p w:rsidR="00AD3C6F" w:rsidRPr="00AD3C6F" w:rsidRDefault="00AD3C6F" w:rsidP="00AD3C6F">
      <w:pPr>
        <w:spacing w:after="0" w:line="240" w:lineRule="auto"/>
        <w:rPr>
          <w:rFonts w:ascii="Arial" w:eastAsia="Times New Roman" w:hAnsi="Arial" w:cs="Arial"/>
          <w:b/>
          <w:bCs/>
          <w:color w:val="000000"/>
          <w:sz w:val="20"/>
          <w:szCs w:val="20"/>
          <w:lang w:eastAsia="en-IN"/>
        </w:rPr>
      </w:pPr>
      <w:r w:rsidRPr="00AD3C6F">
        <w:rPr>
          <w:rFonts w:ascii="Arial" w:eastAsia="Times New Roman" w:hAnsi="Arial" w:cs="Arial"/>
          <w:b/>
          <w:bCs/>
          <w:color w:val="000000"/>
          <w:sz w:val="20"/>
          <w:szCs w:val="20"/>
          <w:lang w:eastAsia="en-IN"/>
        </w:rPr>
        <w:t>4.6 Fertility, pregnancy and lactation</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u w:val="single"/>
          <w:lang w:eastAsia="en-IN"/>
        </w:rPr>
        <w:t>Pregnancy</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The safety of amlodipine in human pregnancy has not been established.</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In animal studies, reproductive toxicity was observed at high doses (see section 5.3).</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Use in pregnancy is only recommended when there is no safer alternative and when the disease itself carries greater risk for the mother and foetus.</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u w:val="single"/>
          <w:lang w:eastAsia="en-IN"/>
        </w:rPr>
        <w:t>Breast-feeding</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Amlodipine has been identified in breastfed infants of treated women. The effect of amlodipine on infants is unknown. A decision on whether to continue/discontinue breast-feeding or to continue/discontinue therapy with amlodipine should be made taking into account the benefit of breast-feeding to the child and the benefit of amlodipine therapy to the mother.</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u w:val="single"/>
          <w:lang w:eastAsia="en-IN"/>
        </w:rPr>
        <w:t>Fertility</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Reversible biochemical changes in the head of spermatozoa have been reported in some patients treated by calcium channel blockers. Clinical data are insufficient regarding the potential effect of amlodipine on fertility. In one rat study, adverse effects were found on male fertility (see section 5.3).</w:t>
      </w:r>
    </w:p>
    <w:p w:rsidR="00AD3C6F" w:rsidRPr="00AD3C6F" w:rsidRDefault="00AD3C6F" w:rsidP="00AD3C6F">
      <w:pPr>
        <w:spacing w:after="0" w:line="240" w:lineRule="auto"/>
        <w:rPr>
          <w:rFonts w:ascii="Arial" w:eastAsia="Times New Roman" w:hAnsi="Arial" w:cs="Arial"/>
          <w:b/>
          <w:bCs/>
          <w:color w:val="000000"/>
          <w:sz w:val="20"/>
          <w:szCs w:val="20"/>
          <w:lang w:eastAsia="en-IN"/>
        </w:rPr>
      </w:pPr>
      <w:r w:rsidRPr="00AD3C6F">
        <w:rPr>
          <w:rFonts w:ascii="Arial" w:eastAsia="Times New Roman" w:hAnsi="Arial" w:cs="Arial"/>
          <w:b/>
          <w:bCs/>
          <w:color w:val="000000"/>
          <w:sz w:val="20"/>
          <w:szCs w:val="20"/>
          <w:lang w:eastAsia="en-IN"/>
        </w:rPr>
        <w:t>4.7 Effects on ability to drive and use machines</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Amlodipine can have minor or moderate influence on the ability to drive and use machines. If patients taking amlodipine suffer from dizziness, headache, fatigue or nausea the ability to react may be impaired. Caution is recommended especially at the start of treatment.</w:t>
      </w:r>
    </w:p>
    <w:p w:rsidR="00AD3C6F" w:rsidRPr="00AD3C6F" w:rsidRDefault="00AD3C6F" w:rsidP="00AD3C6F">
      <w:pPr>
        <w:spacing w:after="0" w:line="240" w:lineRule="auto"/>
        <w:rPr>
          <w:rFonts w:ascii="Arial" w:eastAsia="Times New Roman" w:hAnsi="Arial" w:cs="Arial"/>
          <w:b/>
          <w:bCs/>
          <w:color w:val="000000"/>
          <w:sz w:val="20"/>
          <w:szCs w:val="20"/>
          <w:lang w:eastAsia="en-IN"/>
        </w:rPr>
      </w:pPr>
      <w:r w:rsidRPr="00AD3C6F">
        <w:rPr>
          <w:rFonts w:ascii="Arial" w:eastAsia="Times New Roman" w:hAnsi="Arial" w:cs="Arial"/>
          <w:b/>
          <w:bCs/>
          <w:color w:val="000000"/>
          <w:sz w:val="20"/>
          <w:szCs w:val="20"/>
          <w:lang w:eastAsia="en-IN"/>
        </w:rPr>
        <w:t>4.8 Undesirable effects</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u w:val="single"/>
          <w:lang w:eastAsia="en-IN"/>
        </w:rPr>
        <w:t>Summary of the safety profile</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The most commonly reported adverse reactions during treatment are somnolence, dizziness, headache, palpitations, flushing, abdominal pain, nausea, ankle swelling, oedema and fatigue.</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u w:val="single"/>
          <w:lang w:eastAsia="en-IN"/>
        </w:rPr>
        <w:t>Tabulated list of adverse reactions</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 xml:space="preserve">The following adverse reactions have been observed and reported during treatment with amlodipine with the following frequencies: very common </w:t>
      </w:r>
      <w:proofErr w:type="gramStart"/>
      <w:r w:rsidRPr="00AD3C6F">
        <w:rPr>
          <w:rFonts w:ascii="Arial" w:eastAsia="Times New Roman" w:hAnsi="Arial" w:cs="Arial"/>
          <w:lang w:eastAsia="en-IN"/>
        </w:rPr>
        <w:t>( ≥</w:t>
      </w:r>
      <w:proofErr w:type="gramEnd"/>
      <w:r w:rsidRPr="00AD3C6F">
        <w:rPr>
          <w:rFonts w:ascii="Arial" w:eastAsia="Times New Roman" w:hAnsi="Arial" w:cs="Arial"/>
          <w:lang w:eastAsia="en-IN"/>
        </w:rPr>
        <w:t>1/10); common (≥1/100 to &lt;1/10); uncommon (≥1/1,000 to &lt;1/100); rare (≥1/10,000 to &lt;1/1,000) and very rare (&lt;1/10,000).</w:t>
      </w:r>
    </w:p>
    <w:p w:rsidR="00AD3C6F" w:rsidRPr="00AD3C6F" w:rsidRDefault="00AD3C6F" w:rsidP="00AD3C6F">
      <w:pPr>
        <w:spacing w:after="150" w:line="240" w:lineRule="auto"/>
        <w:rPr>
          <w:rFonts w:ascii="Arial" w:eastAsia="Times New Roman" w:hAnsi="Arial" w:cs="Arial"/>
          <w:lang w:eastAsia="en-IN"/>
        </w:rPr>
      </w:pPr>
      <w:r w:rsidRPr="00AD3C6F">
        <w:rPr>
          <w:rFonts w:ascii="Arial" w:eastAsia="Times New Roman" w:hAnsi="Arial" w:cs="Arial"/>
          <w:lang w:eastAsia="en-IN"/>
        </w:rPr>
        <w:t>Within each frequency grouping, adverse reactions are presented in order of decreasing seriousness.</w:t>
      </w:r>
    </w:p>
    <w:tbl>
      <w:tblPr>
        <w:tblW w:w="10365" w:type="dxa"/>
        <w:tblBorders>
          <w:top w:val="outset" w:sz="6" w:space="0" w:color="7B7B7B"/>
          <w:left w:val="outset" w:sz="6" w:space="0" w:color="7B7B7B"/>
          <w:bottom w:val="outset" w:sz="6" w:space="0" w:color="7B7B7B"/>
          <w:right w:val="outset" w:sz="6" w:space="0" w:color="7B7B7B"/>
        </w:tblBorders>
        <w:tblCellMar>
          <w:top w:w="30" w:type="dxa"/>
          <w:left w:w="30" w:type="dxa"/>
          <w:bottom w:w="30" w:type="dxa"/>
          <w:right w:w="30" w:type="dxa"/>
        </w:tblCellMar>
        <w:tblLook w:val="04A0" w:firstRow="1" w:lastRow="0" w:firstColumn="1" w:lastColumn="0" w:noHBand="0" w:noVBand="1"/>
      </w:tblPr>
      <w:tblGrid>
        <w:gridCol w:w="4353"/>
        <w:gridCol w:w="1555"/>
        <w:gridCol w:w="4457"/>
      </w:tblGrid>
      <w:tr w:rsidR="00AD3C6F" w:rsidRPr="00AD3C6F" w:rsidTr="00AD3C6F">
        <w:tc>
          <w:tcPr>
            <w:tcW w:w="21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b/>
                <w:bCs/>
                <w:sz w:val="20"/>
                <w:szCs w:val="20"/>
                <w:lang w:eastAsia="en-IN"/>
              </w:rPr>
              <w:t>System organ class</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b/>
                <w:bCs/>
                <w:sz w:val="20"/>
                <w:szCs w:val="20"/>
                <w:lang w:eastAsia="en-IN"/>
              </w:rPr>
              <w:t>Frequency</w:t>
            </w:r>
          </w:p>
        </w:tc>
        <w:tc>
          <w:tcPr>
            <w:tcW w:w="21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b/>
                <w:bCs/>
                <w:sz w:val="20"/>
                <w:szCs w:val="20"/>
                <w:lang w:eastAsia="en-IN"/>
              </w:rPr>
              <w:t>Adverse reactions</w:t>
            </w:r>
          </w:p>
        </w:tc>
      </w:tr>
      <w:tr w:rsidR="00AD3C6F" w:rsidRPr="00AD3C6F" w:rsidTr="00AD3C6F">
        <w:tc>
          <w:tcPr>
            <w:tcW w:w="21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b/>
                <w:bCs/>
                <w:sz w:val="20"/>
                <w:szCs w:val="20"/>
                <w:lang w:eastAsia="en-IN"/>
              </w:rPr>
              <w:t>Blood and lymphatic system disorders</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Very rare</w:t>
            </w:r>
          </w:p>
        </w:tc>
        <w:tc>
          <w:tcPr>
            <w:tcW w:w="21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proofErr w:type="spellStart"/>
            <w:r w:rsidRPr="00AD3C6F">
              <w:rPr>
                <w:rFonts w:ascii="Arial" w:eastAsia="Times New Roman" w:hAnsi="Arial" w:cs="Arial"/>
                <w:sz w:val="20"/>
                <w:szCs w:val="20"/>
                <w:lang w:eastAsia="en-IN"/>
              </w:rPr>
              <w:t>Leukocytopenia</w:t>
            </w:r>
            <w:proofErr w:type="spellEnd"/>
            <w:r w:rsidRPr="00AD3C6F">
              <w:rPr>
                <w:rFonts w:ascii="Arial" w:eastAsia="Times New Roman" w:hAnsi="Arial" w:cs="Arial"/>
                <w:sz w:val="20"/>
                <w:szCs w:val="20"/>
                <w:lang w:eastAsia="en-IN"/>
              </w:rPr>
              <w:t>, thrombocytopenia</w:t>
            </w:r>
          </w:p>
        </w:tc>
      </w:tr>
      <w:tr w:rsidR="00AD3C6F" w:rsidRPr="00AD3C6F" w:rsidTr="00AD3C6F">
        <w:tc>
          <w:tcPr>
            <w:tcW w:w="21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b/>
                <w:bCs/>
                <w:sz w:val="20"/>
                <w:szCs w:val="20"/>
                <w:lang w:eastAsia="en-IN"/>
              </w:rPr>
              <w:t>Immune system disorders</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Very rare</w:t>
            </w:r>
          </w:p>
        </w:tc>
        <w:tc>
          <w:tcPr>
            <w:tcW w:w="21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Allergic reactions</w:t>
            </w:r>
          </w:p>
        </w:tc>
      </w:tr>
      <w:tr w:rsidR="00AD3C6F" w:rsidRPr="00AD3C6F" w:rsidTr="00AD3C6F">
        <w:tc>
          <w:tcPr>
            <w:tcW w:w="21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b/>
                <w:bCs/>
                <w:sz w:val="20"/>
                <w:szCs w:val="20"/>
                <w:lang w:eastAsia="en-IN"/>
              </w:rPr>
              <w:t>Metabolism and nutrition disorders</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Very rare</w:t>
            </w:r>
          </w:p>
        </w:tc>
        <w:tc>
          <w:tcPr>
            <w:tcW w:w="21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Hyperglycaemia</w:t>
            </w:r>
          </w:p>
        </w:tc>
      </w:tr>
      <w:tr w:rsidR="00AD3C6F" w:rsidRPr="00AD3C6F" w:rsidTr="00AD3C6F">
        <w:tc>
          <w:tcPr>
            <w:tcW w:w="2100" w:type="pct"/>
            <w:vMerge w:val="restar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b/>
                <w:bCs/>
                <w:sz w:val="20"/>
                <w:szCs w:val="20"/>
                <w:lang w:eastAsia="en-IN"/>
              </w:rPr>
              <w:t>Psychiatric disorders</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Uncommon</w:t>
            </w:r>
          </w:p>
        </w:tc>
        <w:tc>
          <w:tcPr>
            <w:tcW w:w="21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Depression, mood changes (including anxiety), insomnia</w:t>
            </w:r>
          </w:p>
        </w:tc>
      </w:tr>
      <w:tr w:rsidR="00AD3C6F" w:rsidRPr="00AD3C6F" w:rsidTr="00AD3C6F">
        <w:tc>
          <w:tcPr>
            <w:tcW w:w="0" w:type="auto"/>
            <w:vMerge/>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Rare</w:t>
            </w:r>
          </w:p>
        </w:tc>
        <w:tc>
          <w:tcPr>
            <w:tcW w:w="21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Confusion</w:t>
            </w:r>
          </w:p>
        </w:tc>
      </w:tr>
      <w:tr w:rsidR="00AD3C6F" w:rsidRPr="00AD3C6F" w:rsidTr="00AD3C6F">
        <w:tc>
          <w:tcPr>
            <w:tcW w:w="2100" w:type="pct"/>
            <w:vMerge w:val="restar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b/>
                <w:bCs/>
                <w:sz w:val="20"/>
                <w:szCs w:val="20"/>
                <w:lang w:eastAsia="en-IN"/>
              </w:rPr>
              <w:lastRenderedPageBreak/>
              <w:t>Nervous system disorders</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Common</w:t>
            </w:r>
          </w:p>
        </w:tc>
        <w:tc>
          <w:tcPr>
            <w:tcW w:w="21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Somnolence, dizziness, headache (especially at the beginning of the treatment)</w:t>
            </w:r>
          </w:p>
        </w:tc>
      </w:tr>
      <w:tr w:rsidR="00AD3C6F" w:rsidRPr="00AD3C6F" w:rsidTr="00AD3C6F">
        <w:tc>
          <w:tcPr>
            <w:tcW w:w="0" w:type="auto"/>
            <w:vMerge/>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Uncommon</w:t>
            </w:r>
          </w:p>
        </w:tc>
        <w:tc>
          <w:tcPr>
            <w:tcW w:w="21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 xml:space="preserve">Tremor, </w:t>
            </w:r>
            <w:proofErr w:type="spellStart"/>
            <w:r w:rsidRPr="00AD3C6F">
              <w:rPr>
                <w:rFonts w:ascii="Arial" w:eastAsia="Times New Roman" w:hAnsi="Arial" w:cs="Arial"/>
                <w:sz w:val="20"/>
                <w:szCs w:val="20"/>
                <w:lang w:eastAsia="en-IN"/>
              </w:rPr>
              <w:t>dysgeusia</w:t>
            </w:r>
            <w:proofErr w:type="spellEnd"/>
            <w:r w:rsidRPr="00AD3C6F">
              <w:rPr>
                <w:rFonts w:ascii="Arial" w:eastAsia="Times New Roman" w:hAnsi="Arial" w:cs="Arial"/>
                <w:sz w:val="20"/>
                <w:szCs w:val="20"/>
                <w:lang w:eastAsia="en-IN"/>
              </w:rPr>
              <w:t xml:space="preserve">, syncope, </w:t>
            </w:r>
            <w:proofErr w:type="spellStart"/>
            <w:r w:rsidRPr="00AD3C6F">
              <w:rPr>
                <w:rFonts w:ascii="Arial" w:eastAsia="Times New Roman" w:hAnsi="Arial" w:cs="Arial"/>
                <w:sz w:val="20"/>
                <w:szCs w:val="20"/>
                <w:lang w:eastAsia="en-IN"/>
              </w:rPr>
              <w:t>hypoaesthesia</w:t>
            </w:r>
            <w:proofErr w:type="spellEnd"/>
            <w:r w:rsidRPr="00AD3C6F">
              <w:rPr>
                <w:rFonts w:ascii="Arial" w:eastAsia="Times New Roman" w:hAnsi="Arial" w:cs="Arial"/>
                <w:sz w:val="20"/>
                <w:szCs w:val="20"/>
                <w:lang w:eastAsia="en-IN"/>
              </w:rPr>
              <w:t>, paraesthesia</w:t>
            </w:r>
          </w:p>
        </w:tc>
      </w:tr>
      <w:tr w:rsidR="00AD3C6F" w:rsidRPr="00AD3C6F" w:rsidTr="00AD3C6F">
        <w:tc>
          <w:tcPr>
            <w:tcW w:w="0" w:type="auto"/>
            <w:vMerge/>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Very rare</w:t>
            </w:r>
          </w:p>
        </w:tc>
        <w:tc>
          <w:tcPr>
            <w:tcW w:w="21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Hypertonia, peripheral neuropathy</w:t>
            </w:r>
          </w:p>
        </w:tc>
      </w:tr>
      <w:tr w:rsidR="00AD3C6F" w:rsidRPr="00AD3C6F" w:rsidTr="00AD3C6F">
        <w:tc>
          <w:tcPr>
            <w:tcW w:w="21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b/>
                <w:bCs/>
                <w:sz w:val="20"/>
                <w:szCs w:val="20"/>
                <w:lang w:eastAsia="en-IN"/>
              </w:rPr>
              <w:t>Eye disorders</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Common</w:t>
            </w:r>
          </w:p>
        </w:tc>
        <w:tc>
          <w:tcPr>
            <w:tcW w:w="21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Visual disturbance (including diplopia)</w:t>
            </w:r>
          </w:p>
        </w:tc>
      </w:tr>
      <w:tr w:rsidR="00AD3C6F" w:rsidRPr="00AD3C6F" w:rsidTr="00AD3C6F">
        <w:tc>
          <w:tcPr>
            <w:tcW w:w="21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b/>
                <w:bCs/>
                <w:sz w:val="20"/>
                <w:szCs w:val="20"/>
                <w:lang w:eastAsia="en-IN"/>
              </w:rPr>
              <w:t>Ear and labyrinth disorders</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Uncommon</w:t>
            </w:r>
          </w:p>
        </w:tc>
        <w:tc>
          <w:tcPr>
            <w:tcW w:w="21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Tinnitus</w:t>
            </w:r>
          </w:p>
        </w:tc>
      </w:tr>
      <w:tr w:rsidR="00AD3C6F" w:rsidRPr="00AD3C6F" w:rsidTr="00AD3C6F">
        <w:tc>
          <w:tcPr>
            <w:tcW w:w="2100" w:type="pct"/>
            <w:vMerge w:val="restar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b/>
                <w:bCs/>
                <w:sz w:val="20"/>
                <w:szCs w:val="20"/>
                <w:lang w:eastAsia="en-IN"/>
              </w:rPr>
              <w:t>Cardiac disorders</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Common</w:t>
            </w:r>
          </w:p>
        </w:tc>
        <w:tc>
          <w:tcPr>
            <w:tcW w:w="21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Palpitations</w:t>
            </w:r>
          </w:p>
        </w:tc>
      </w:tr>
      <w:tr w:rsidR="00AD3C6F" w:rsidRPr="00AD3C6F" w:rsidTr="00AD3C6F">
        <w:tc>
          <w:tcPr>
            <w:tcW w:w="0" w:type="auto"/>
            <w:vMerge/>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Uncommon</w:t>
            </w:r>
          </w:p>
        </w:tc>
        <w:tc>
          <w:tcPr>
            <w:tcW w:w="21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Arrhythmia (including bradycardia, ventricular tachycardia and atrial fibrillation)</w:t>
            </w:r>
          </w:p>
        </w:tc>
      </w:tr>
      <w:tr w:rsidR="00AD3C6F" w:rsidRPr="00AD3C6F" w:rsidTr="00AD3C6F">
        <w:tc>
          <w:tcPr>
            <w:tcW w:w="0" w:type="auto"/>
            <w:vMerge/>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Very rare</w:t>
            </w:r>
          </w:p>
        </w:tc>
        <w:tc>
          <w:tcPr>
            <w:tcW w:w="21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Myocardial infarction</w:t>
            </w:r>
          </w:p>
        </w:tc>
      </w:tr>
      <w:tr w:rsidR="00AD3C6F" w:rsidRPr="00AD3C6F" w:rsidTr="00AD3C6F">
        <w:tc>
          <w:tcPr>
            <w:tcW w:w="2100" w:type="pct"/>
            <w:vMerge w:val="restar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b/>
                <w:bCs/>
                <w:sz w:val="20"/>
                <w:szCs w:val="20"/>
                <w:lang w:eastAsia="en-IN"/>
              </w:rPr>
              <w:t>Vascular disorders</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Common</w:t>
            </w:r>
          </w:p>
        </w:tc>
        <w:tc>
          <w:tcPr>
            <w:tcW w:w="21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Flushing</w:t>
            </w:r>
          </w:p>
        </w:tc>
      </w:tr>
      <w:tr w:rsidR="00AD3C6F" w:rsidRPr="00AD3C6F" w:rsidTr="00AD3C6F">
        <w:tc>
          <w:tcPr>
            <w:tcW w:w="0" w:type="auto"/>
            <w:vMerge/>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Uncommon</w:t>
            </w:r>
          </w:p>
        </w:tc>
        <w:tc>
          <w:tcPr>
            <w:tcW w:w="21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Hypotension</w:t>
            </w:r>
          </w:p>
        </w:tc>
      </w:tr>
      <w:tr w:rsidR="00AD3C6F" w:rsidRPr="00AD3C6F" w:rsidTr="00AD3C6F">
        <w:tc>
          <w:tcPr>
            <w:tcW w:w="0" w:type="auto"/>
            <w:vMerge/>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Very rare</w:t>
            </w:r>
          </w:p>
        </w:tc>
        <w:tc>
          <w:tcPr>
            <w:tcW w:w="21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proofErr w:type="spellStart"/>
            <w:r w:rsidRPr="00AD3C6F">
              <w:rPr>
                <w:rFonts w:ascii="Arial" w:eastAsia="Times New Roman" w:hAnsi="Arial" w:cs="Arial"/>
                <w:sz w:val="20"/>
                <w:szCs w:val="20"/>
                <w:lang w:eastAsia="en-IN"/>
              </w:rPr>
              <w:t>Vasculitis</w:t>
            </w:r>
            <w:proofErr w:type="spellEnd"/>
          </w:p>
        </w:tc>
      </w:tr>
      <w:tr w:rsidR="00AD3C6F" w:rsidRPr="00AD3C6F" w:rsidTr="00AD3C6F">
        <w:tc>
          <w:tcPr>
            <w:tcW w:w="2100" w:type="pct"/>
            <w:vMerge w:val="restar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b/>
                <w:bCs/>
                <w:sz w:val="20"/>
                <w:szCs w:val="20"/>
                <w:lang w:eastAsia="en-IN"/>
              </w:rPr>
              <w:t xml:space="preserve">Respiratory, thoracic and </w:t>
            </w:r>
            <w:proofErr w:type="spellStart"/>
            <w:r w:rsidRPr="00AD3C6F">
              <w:rPr>
                <w:rFonts w:ascii="Arial" w:eastAsia="Times New Roman" w:hAnsi="Arial" w:cs="Arial"/>
                <w:b/>
                <w:bCs/>
                <w:sz w:val="20"/>
                <w:szCs w:val="20"/>
                <w:lang w:eastAsia="en-IN"/>
              </w:rPr>
              <w:t>mediastinal</w:t>
            </w:r>
            <w:proofErr w:type="spellEnd"/>
            <w:r w:rsidRPr="00AD3C6F">
              <w:rPr>
                <w:rFonts w:ascii="Arial" w:eastAsia="Times New Roman" w:hAnsi="Arial" w:cs="Arial"/>
                <w:b/>
                <w:bCs/>
                <w:sz w:val="20"/>
                <w:szCs w:val="20"/>
                <w:lang w:eastAsia="en-IN"/>
              </w:rPr>
              <w:t xml:space="preserve"> disorders</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Common</w:t>
            </w:r>
          </w:p>
        </w:tc>
        <w:tc>
          <w:tcPr>
            <w:tcW w:w="21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Dyspnoea</w:t>
            </w:r>
          </w:p>
        </w:tc>
      </w:tr>
      <w:tr w:rsidR="00AD3C6F" w:rsidRPr="00AD3C6F" w:rsidTr="00AD3C6F">
        <w:tc>
          <w:tcPr>
            <w:tcW w:w="0" w:type="auto"/>
            <w:vMerge/>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Uncommon</w:t>
            </w:r>
          </w:p>
        </w:tc>
        <w:tc>
          <w:tcPr>
            <w:tcW w:w="21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Cough, rhinitis</w:t>
            </w:r>
          </w:p>
        </w:tc>
      </w:tr>
      <w:tr w:rsidR="00AD3C6F" w:rsidRPr="00AD3C6F" w:rsidTr="00AD3C6F">
        <w:tc>
          <w:tcPr>
            <w:tcW w:w="2100" w:type="pct"/>
            <w:vMerge w:val="restar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b/>
                <w:bCs/>
                <w:sz w:val="20"/>
                <w:szCs w:val="20"/>
                <w:lang w:eastAsia="en-IN"/>
              </w:rPr>
              <w:t>Gastrointestinal disorders</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Common</w:t>
            </w:r>
          </w:p>
        </w:tc>
        <w:tc>
          <w:tcPr>
            <w:tcW w:w="21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Abdominal pain, nausea, dyspepsia, altered bowel habits (including diarrhoea and constipation)</w:t>
            </w:r>
          </w:p>
        </w:tc>
      </w:tr>
      <w:tr w:rsidR="00AD3C6F" w:rsidRPr="00AD3C6F" w:rsidTr="00AD3C6F">
        <w:tc>
          <w:tcPr>
            <w:tcW w:w="0" w:type="auto"/>
            <w:vMerge/>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Uncommon</w:t>
            </w:r>
          </w:p>
        </w:tc>
        <w:tc>
          <w:tcPr>
            <w:tcW w:w="21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Vomiting, dry mouth</w:t>
            </w:r>
          </w:p>
        </w:tc>
      </w:tr>
      <w:tr w:rsidR="00AD3C6F" w:rsidRPr="00AD3C6F" w:rsidTr="00AD3C6F">
        <w:tc>
          <w:tcPr>
            <w:tcW w:w="0" w:type="auto"/>
            <w:vMerge/>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Very rare</w:t>
            </w:r>
          </w:p>
        </w:tc>
        <w:tc>
          <w:tcPr>
            <w:tcW w:w="21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Pancreatitis, gastritis, gingival hyperplasia</w:t>
            </w:r>
          </w:p>
        </w:tc>
      </w:tr>
      <w:tr w:rsidR="00AD3C6F" w:rsidRPr="00AD3C6F" w:rsidTr="00AD3C6F">
        <w:tc>
          <w:tcPr>
            <w:tcW w:w="21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proofErr w:type="spellStart"/>
            <w:r w:rsidRPr="00AD3C6F">
              <w:rPr>
                <w:rFonts w:ascii="Arial" w:eastAsia="Times New Roman" w:hAnsi="Arial" w:cs="Arial"/>
                <w:b/>
                <w:bCs/>
                <w:sz w:val="20"/>
                <w:szCs w:val="20"/>
                <w:lang w:eastAsia="en-IN"/>
              </w:rPr>
              <w:t>Hepatobiliary</w:t>
            </w:r>
            <w:proofErr w:type="spellEnd"/>
            <w:r w:rsidRPr="00AD3C6F">
              <w:rPr>
                <w:rFonts w:ascii="Arial" w:eastAsia="Times New Roman" w:hAnsi="Arial" w:cs="Arial"/>
                <w:b/>
                <w:bCs/>
                <w:sz w:val="20"/>
                <w:szCs w:val="20"/>
                <w:lang w:eastAsia="en-IN"/>
              </w:rPr>
              <w:t xml:space="preserve"> disorders</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Very rare</w:t>
            </w:r>
          </w:p>
        </w:tc>
        <w:tc>
          <w:tcPr>
            <w:tcW w:w="21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Hepatitis, jaundice, hepatic enzyme increased*</w:t>
            </w:r>
          </w:p>
        </w:tc>
      </w:tr>
      <w:tr w:rsidR="00AD3C6F" w:rsidRPr="00AD3C6F" w:rsidTr="00AD3C6F">
        <w:tc>
          <w:tcPr>
            <w:tcW w:w="2100" w:type="pct"/>
            <w:vMerge w:val="restar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b/>
                <w:bCs/>
                <w:sz w:val="20"/>
                <w:szCs w:val="20"/>
                <w:lang w:eastAsia="en-IN"/>
              </w:rPr>
              <w:t>Skin and subcutaneous tissue disorders</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Uncommon</w:t>
            </w:r>
          </w:p>
        </w:tc>
        <w:tc>
          <w:tcPr>
            <w:tcW w:w="21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 xml:space="preserve">Alopecia, </w:t>
            </w:r>
            <w:proofErr w:type="spellStart"/>
            <w:r w:rsidRPr="00AD3C6F">
              <w:rPr>
                <w:rFonts w:ascii="Arial" w:eastAsia="Times New Roman" w:hAnsi="Arial" w:cs="Arial"/>
                <w:sz w:val="20"/>
                <w:szCs w:val="20"/>
                <w:lang w:eastAsia="en-IN"/>
              </w:rPr>
              <w:t>purpura</w:t>
            </w:r>
            <w:proofErr w:type="spellEnd"/>
            <w:r w:rsidRPr="00AD3C6F">
              <w:rPr>
                <w:rFonts w:ascii="Arial" w:eastAsia="Times New Roman" w:hAnsi="Arial" w:cs="Arial"/>
                <w:sz w:val="20"/>
                <w:szCs w:val="20"/>
                <w:lang w:eastAsia="en-IN"/>
              </w:rPr>
              <w:t xml:space="preserve">, skin discolouration, hyperhidrosis, pruritus, rash, exanthema, </w:t>
            </w:r>
            <w:proofErr w:type="spellStart"/>
            <w:r w:rsidRPr="00AD3C6F">
              <w:rPr>
                <w:rFonts w:ascii="Arial" w:eastAsia="Times New Roman" w:hAnsi="Arial" w:cs="Arial"/>
                <w:sz w:val="20"/>
                <w:szCs w:val="20"/>
                <w:lang w:eastAsia="en-IN"/>
              </w:rPr>
              <w:t>urticaria</w:t>
            </w:r>
            <w:proofErr w:type="spellEnd"/>
          </w:p>
        </w:tc>
      </w:tr>
      <w:tr w:rsidR="00AD3C6F" w:rsidRPr="00AD3C6F" w:rsidTr="00AD3C6F">
        <w:tc>
          <w:tcPr>
            <w:tcW w:w="0" w:type="auto"/>
            <w:vMerge/>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Very rare</w:t>
            </w:r>
          </w:p>
        </w:tc>
        <w:tc>
          <w:tcPr>
            <w:tcW w:w="21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 xml:space="preserve">Angioedema, erythema </w:t>
            </w:r>
            <w:proofErr w:type="spellStart"/>
            <w:r w:rsidRPr="00AD3C6F">
              <w:rPr>
                <w:rFonts w:ascii="Arial" w:eastAsia="Times New Roman" w:hAnsi="Arial" w:cs="Arial"/>
                <w:sz w:val="20"/>
                <w:szCs w:val="20"/>
                <w:lang w:eastAsia="en-IN"/>
              </w:rPr>
              <w:t>multiforme</w:t>
            </w:r>
            <w:proofErr w:type="spellEnd"/>
            <w:r w:rsidRPr="00AD3C6F">
              <w:rPr>
                <w:rFonts w:ascii="Arial" w:eastAsia="Times New Roman" w:hAnsi="Arial" w:cs="Arial"/>
                <w:sz w:val="20"/>
                <w:szCs w:val="20"/>
                <w:lang w:eastAsia="en-IN"/>
              </w:rPr>
              <w:t xml:space="preserve">, </w:t>
            </w:r>
            <w:proofErr w:type="spellStart"/>
            <w:r w:rsidRPr="00AD3C6F">
              <w:rPr>
                <w:rFonts w:ascii="Arial" w:eastAsia="Times New Roman" w:hAnsi="Arial" w:cs="Arial"/>
                <w:sz w:val="20"/>
                <w:szCs w:val="20"/>
                <w:lang w:eastAsia="en-IN"/>
              </w:rPr>
              <w:t>exfoliative</w:t>
            </w:r>
            <w:proofErr w:type="spellEnd"/>
            <w:r w:rsidRPr="00AD3C6F">
              <w:rPr>
                <w:rFonts w:ascii="Arial" w:eastAsia="Times New Roman" w:hAnsi="Arial" w:cs="Arial"/>
                <w:sz w:val="20"/>
                <w:szCs w:val="20"/>
                <w:lang w:eastAsia="en-IN"/>
              </w:rPr>
              <w:t xml:space="preserve"> dermatitis, Stevens-Johnson syndrome, </w:t>
            </w:r>
            <w:proofErr w:type="spellStart"/>
            <w:r w:rsidRPr="00AD3C6F">
              <w:rPr>
                <w:rFonts w:ascii="Arial" w:eastAsia="Times New Roman" w:hAnsi="Arial" w:cs="Arial"/>
                <w:sz w:val="20"/>
                <w:szCs w:val="20"/>
                <w:lang w:eastAsia="en-IN"/>
              </w:rPr>
              <w:t>Quincke</w:t>
            </w:r>
            <w:proofErr w:type="spellEnd"/>
            <w:r w:rsidRPr="00AD3C6F">
              <w:rPr>
                <w:rFonts w:ascii="Arial" w:eastAsia="Times New Roman" w:hAnsi="Arial" w:cs="Arial"/>
                <w:sz w:val="20"/>
                <w:szCs w:val="20"/>
                <w:lang w:eastAsia="en-IN"/>
              </w:rPr>
              <w:t xml:space="preserve"> oedema, photosensitivity</w:t>
            </w:r>
          </w:p>
        </w:tc>
      </w:tr>
      <w:tr w:rsidR="00AD3C6F" w:rsidRPr="00AD3C6F" w:rsidTr="00AD3C6F">
        <w:tc>
          <w:tcPr>
            <w:tcW w:w="2100" w:type="pct"/>
            <w:vMerge w:val="restar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b/>
                <w:bCs/>
                <w:sz w:val="20"/>
                <w:szCs w:val="20"/>
                <w:lang w:eastAsia="en-IN"/>
              </w:rPr>
              <w:t>Musculoskeletal and connective tissue disorders</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Common</w:t>
            </w:r>
          </w:p>
        </w:tc>
        <w:tc>
          <w:tcPr>
            <w:tcW w:w="21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Ankle swelling, muscle cramps</w:t>
            </w:r>
          </w:p>
        </w:tc>
      </w:tr>
      <w:tr w:rsidR="00AD3C6F" w:rsidRPr="00AD3C6F" w:rsidTr="00AD3C6F">
        <w:tc>
          <w:tcPr>
            <w:tcW w:w="0" w:type="auto"/>
            <w:vMerge/>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Uncommon</w:t>
            </w:r>
          </w:p>
        </w:tc>
        <w:tc>
          <w:tcPr>
            <w:tcW w:w="21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Arthralgia, myalgia, back pain</w:t>
            </w:r>
          </w:p>
        </w:tc>
      </w:tr>
      <w:tr w:rsidR="00AD3C6F" w:rsidRPr="00AD3C6F" w:rsidTr="00AD3C6F">
        <w:tc>
          <w:tcPr>
            <w:tcW w:w="21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b/>
                <w:bCs/>
                <w:sz w:val="20"/>
                <w:szCs w:val="20"/>
                <w:lang w:eastAsia="en-IN"/>
              </w:rPr>
              <w:t>Renal and urinary disorders</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Uncommon</w:t>
            </w:r>
          </w:p>
        </w:tc>
        <w:tc>
          <w:tcPr>
            <w:tcW w:w="21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 xml:space="preserve">Micturition disorder, </w:t>
            </w:r>
            <w:proofErr w:type="spellStart"/>
            <w:r w:rsidRPr="00AD3C6F">
              <w:rPr>
                <w:rFonts w:ascii="Arial" w:eastAsia="Times New Roman" w:hAnsi="Arial" w:cs="Arial"/>
                <w:sz w:val="20"/>
                <w:szCs w:val="20"/>
                <w:lang w:eastAsia="en-IN"/>
              </w:rPr>
              <w:t>nocturia</w:t>
            </w:r>
            <w:proofErr w:type="spellEnd"/>
            <w:r w:rsidRPr="00AD3C6F">
              <w:rPr>
                <w:rFonts w:ascii="Arial" w:eastAsia="Times New Roman" w:hAnsi="Arial" w:cs="Arial"/>
                <w:sz w:val="20"/>
                <w:szCs w:val="20"/>
                <w:lang w:eastAsia="en-IN"/>
              </w:rPr>
              <w:t>, increased urinary frequency</w:t>
            </w:r>
          </w:p>
        </w:tc>
      </w:tr>
      <w:tr w:rsidR="00AD3C6F" w:rsidRPr="00AD3C6F" w:rsidTr="00AD3C6F">
        <w:tc>
          <w:tcPr>
            <w:tcW w:w="21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b/>
                <w:bCs/>
                <w:sz w:val="20"/>
                <w:szCs w:val="20"/>
                <w:lang w:eastAsia="en-IN"/>
              </w:rPr>
              <w:t>Reproductive system and breast disorders</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Uncommon</w:t>
            </w:r>
          </w:p>
        </w:tc>
        <w:tc>
          <w:tcPr>
            <w:tcW w:w="21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 xml:space="preserve">Impotence, </w:t>
            </w:r>
            <w:proofErr w:type="spellStart"/>
            <w:r w:rsidRPr="00AD3C6F">
              <w:rPr>
                <w:rFonts w:ascii="Arial" w:eastAsia="Times New Roman" w:hAnsi="Arial" w:cs="Arial"/>
                <w:sz w:val="20"/>
                <w:szCs w:val="20"/>
                <w:lang w:eastAsia="en-IN"/>
              </w:rPr>
              <w:t>gynaecomastia</w:t>
            </w:r>
            <w:proofErr w:type="spellEnd"/>
          </w:p>
        </w:tc>
      </w:tr>
      <w:tr w:rsidR="00AD3C6F" w:rsidRPr="00AD3C6F" w:rsidTr="00AD3C6F">
        <w:tc>
          <w:tcPr>
            <w:tcW w:w="2100" w:type="pct"/>
            <w:vMerge w:val="restar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b/>
                <w:bCs/>
                <w:sz w:val="20"/>
                <w:szCs w:val="20"/>
                <w:lang w:eastAsia="en-IN"/>
              </w:rPr>
              <w:t>General disorders and administration site conditions</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Very common</w:t>
            </w:r>
          </w:p>
        </w:tc>
        <w:tc>
          <w:tcPr>
            <w:tcW w:w="21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Oedema</w:t>
            </w:r>
          </w:p>
        </w:tc>
      </w:tr>
      <w:tr w:rsidR="00AD3C6F" w:rsidRPr="00AD3C6F" w:rsidTr="00AD3C6F">
        <w:tc>
          <w:tcPr>
            <w:tcW w:w="0" w:type="auto"/>
            <w:vMerge/>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Common</w:t>
            </w:r>
          </w:p>
        </w:tc>
        <w:tc>
          <w:tcPr>
            <w:tcW w:w="21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Fatigue, asthenia</w:t>
            </w:r>
          </w:p>
        </w:tc>
      </w:tr>
      <w:tr w:rsidR="00AD3C6F" w:rsidRPr="00AD3C6F" w:rsidTr="00AD3C6F">
        <w:tc>
          <w:tcPr>
            <w:tcW w:w="0" w:type="auto"/>
            <w:vMerge/>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Uncommon</w:t>
            </w:r>
          </w:p>
        </w:tc>
        <w:tc>
          <w:tcPr>
            <w:tcW w:w="21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Chest pain, pain, malaise</w:t>
            </w:r>
          </w:p>
        </w:tc>
      </w:tr>
      <w:tr w:rsidR="00AD3C6F" w:rsidRPr="00AD3C6F" w:rsidTr="00AD3C6F">
        <w:tc>
          <w:tcPr>
            <w:tcW w:w="21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b/>
                <w:bCs/>
                <w:sz w:val="20"/>
                <w:szCs w:val="20"/>
                <w:lang w:eastAsia="en-IN"/>
              </w:rPr>
              <w:t>Investigations</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Uncommon</w:t>
            </w:r>
          </w:p>
        </w:tc>
        <w:tc>
          <w:tcPr>
            <w:tcW w:w="21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Weight increased, weight decreased</w:t>
            </w:r>
          </w:p>
        </w:tc>
      </w:tr>
    </w:tbl>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*mostly consistent with cholestasis</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Exceptional cases of extrapyramidal syndrome have been reported.</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u w:val="single"/>
          <w:lang w:eastAsia="en-IN"/>
        </w:rPr>
        <w:t>Reporting of suspected adverse reactions</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Reporting suspected adverse reactions after authorisation of the medicinal product is important. It allows continued monitoring of the benefit/risk balance of the medicinal product. Healthcare professionals are asked to report any suspected adverse reactions via yellow card scheme at www.mhra.gov.uk/yellowcard.</w:t>
      </w:r>
    </w:p>
    <w:p w:rsidR="00AD3C6F" w:rsidRPr="00AD3C6F" w:rsidRDefault="00AD3C6F" w:rsidP="00AD3C6F">
      <w:pPr>
        <w:spacing w:after="0" w:line="240" w:lineRule="auto"/>
        <w:rPr>
          <w:rFonts w:ascii="Arial" w:eastAsia="Times New Roman" w:hAnsi="Arial" w:cs="Arial"/>
          <w:b/>
          <w:bCs/>
          <w:color w:val="000000"/>
          <w:sz w:val="20"/>
          <w:szCs w:val="20"/>
          <w:lang w:eastAsia="en-IN"/>
        </w:rPr>
      </w:pPr>
      <w:r w:rsidRPr="00AD3C6F">
        <w:rPr>
          <w:rFonts w:ascii="Arial" w:eastAsia="Times New Roman" w:hAnsi="Arial" w:cs="Arial"/>
          <w:b/>
          <w:bCs/>
          <w:color w:val="000000"/>
          <w:sz w:val="20"/>
          <w:szCs w:val="20"/>
          <w:lang w:eastAsia="en-IN"/>
        </w:rPr>
        <w:t>4.9 Overdose</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In humans experience with intentional overdose is limited.</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u w:val="single"/>
          <w:lang w:eastAsia="en-IN"/>
        </w:rPr>
        <w:t>Symptoms</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lastRenderedPageBreak/>
        <w:t xml:space="preserve">Available data suggest that gross </w:t>
      </w:r>
      <w:proofErr w:type="spellStart"/>
      <w:r w:rsidRPr="00AD3C6F">
        <w:rPr>
          <w:rFonts w:ascii="Arial" w:eastAsia="Times New Roman" w:hAnsi="Arial" w:cs="Arial"/>
          <w:lang w:eastAsia="en-IN"/>
        </w:rPr>
        <w:t>overdosage</w:t>
      </w:r>
      <w:proofErr w:type="spellEnd"/>
      <w:r w:rsidRPr="00AD3C6F">
        <w:rPr>
          <w:rFonts w:ascii="Arial" w:eastAsia="Times New Roman" w:hAnsi="Arial" w:cs="Arial"/>
          <w:lang w:eastAsia="en-IN"/>
        </w:rPr>
        <w:t xml:space="preserve"> could result in excessive peripheral vasodilatation and possibly reflex tachycardia. Marked and probably prolonged systemic hypotension up to and including shock with fatal outcome have been reported.</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u w:val="single"/>
          <w:lang w:eastAsia="en-IN"/>
        </w:rPr>
        <w:t>Treatment</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 xml:space="preserve">Clinically significant hypotension due to Amlodipine </w:t>
      </w:r>
      <w:proofErr w:type="spellStart"/>
      <w:r w:rsidRPr="00AD3C6F">
        <w:rPr>
          <w:rFonts w:ascii="Arial" w:eastAsia="Times New Roman" w:hAnsi="Arial" w:cs="Arial"/>
          <w:lang w:eastAsia="en-IN"/>
        </w:rPr>
        <w:t>overdosage</w:t>
      </w:r>
      <w:proofErr w:type="spellEnd"/>
      <w:r w:rsidRPr="00AD3C6F">
        <w:rPr>
          <w:rFonts w:ascii="Arial" w:eastAsia="Times New Roman" w:hAnsi="Arial" w:cs="Arial"/>
          <w:lang w:eastAsia="en-IN"/>
        </w:rPr>
        <w:t xml:space="preserve"> calls for active cardiovascular support including frequent monitoring of cardiac and respiratory function, elevation of extremities, and attention to circulating fluid volume and urine output.</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 xml:space="preserve">A vasoconstrictor may be helpful in restoring vascular tone and blood pressure, provided that there is no contraindication to its use. Intravenous calcium </w:t>
      </w:r>
      <w:proofErr w:type="spellStart"/>
      <w:r w:rsidRPr="00AD3C6F">
        <w:rPr>
          <w:rFonts w:ascii="Arial" w:eastAsia="Times New Roman" w:hAnsi="Arial" w:cs="Arial"/>
          <w:lang w:eastAsia="en-IN"/>
        </w:rPr>
        <w:t>gluconate</w:t>
      </w:r>
      <w:proofErr w:type="spellEnd"/>
      <w:r w:rsidRPr="00AD3C6F">
        <w:rPr>
          <w:rFonts w:ascii="Arial" w:eastAsia="Times New Roman" w:hAnsi="Arial" w:cs="Arial"/>
          <w:lang w:eastAsia="en-IN"/>
        </w:rPr>
        <w:t xml:space="preserve"> may be beneficial in reversing the effects of calcium channel blockade.</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Gastric lavage may be worthwhile in some cases. In healthy volunteers the use of charcoal up to 2 hours after administration of amlodipine 10 mg has been shown to reduce the absorption rate of amlodipine.</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Since Amlodipine is highly protein-bound, dialysis is not likely to be of benefit.</w:t>
      </w:r>
    </w:p>
    <w:p w:rsidR="00AD3C6F" w:rsidRPr="00AD3C6F" w:rsidRDefault="00AD3C6F" w:rsidP="00AD3C6F">
      <w:pPr>
        <w:spacing w:after="150" w:line="240" w:lineRule="auto"/>
        <w:rPr>
          <w:rFonts w:ascii="Arial" w:eastAsia="Times New Roman" w:hAnsi="Arial" w:cs="Arial"/>
          <w:b/>
          <w:bCs/>
          <w:color w:val="397360"/>
          <w:sz w:val="26"/>
          <w:szCs w:val="26"/>
          <w:lang w:eastAsia="en-IN"/>
        </w:rPr>
      </w:pPr>
      <w:r w:rsidRPr="00AD3C6F">
        <w:rPr>
          <w:rFonts w:ascii="Arial" w:eastAsia="Times New Roman" w:hAnsi="Arial" w:cs="Arial"/>
          <w:b/>
          <w:bCs/>
          <w:color w:val="397360"/>
          <w:sz w:val="26"/>
          <w:szCs w:val="26"/>
          <w:lang w:eastAsia="en-IN"/>
        </w:rPr>
        <w:t>5. Pharmacological properties</w:t>
      </w:r>
    </w:p>
    <w:p w:rsidR="00AD3C6F" w:rsidRPr="00AD3C6F" w:rsidRDefault="00AD3C6F" w:rsidP="00AD3C6F">
      <w:pPr>
        <w:spacing w:after="0" w:line="240" w:lineRule="auto"/>
        <w:rPr>
          <w:rFonts w:ascii="Arial" w:eastAsia="Times New Roman" w:hAnsi="Arial" w:cs="Arial"/>
          <w:b/>
          <w:bCs/>
          <w:color w:val="000000"/>
          <w:sz w:val="20"/>
          <w:szCs w:val="20"/>
          <w:lang w:eastAsia="en-IN"/>
        </w:rPr>
      </w:pPr>
      <w:r w:rsidRPr="00AD3C6F">
        <w:rPr>
          <w:rFonts w:ascii="Arial" w:eastAsia="Times New Roman" w:hAnsi="Arial" w:cs="Arial"/>
          <w:b/>
          <w:bCs/>
          <w:color w:val="000000"/>
          <w:sz w:val="20"/>
          <w:szCs w:val="20"/>
          <w:lang w:eastAsia="en-IN"/>
        </w:rPr>
        <w:t xml:space="preserve">5.1 </w:t>
      </w:r>
      <w:proofErr w:type="spellStart"/>
      <w:r w:rsidRPr="00AD3C6F">
        <w:rPr>
          <w:rFonts w:ascii="Arial" w:eastAsia="Times New Roman" w:hAnsi="Arial" w:cs="Arial"/>
          <w:b/>
          <w:bCs/>
          <w:color w:val="000000"/>
          <w:sz w:val="20"/>
          <w:szCs w:val="20"/>
          <w:lang w:eastAsia="en-IN"/>
        </w:rPr>
        <w:t>Pharmacodynamic</w:t>
      </w:r>
      <w:proofErr w:type="spellEnd"/>
      <w:r w:rsidRPr="00AD3C6F">
        <w:rPr>
          <w:rFonts w:ascii="Arial" w:eastAsia="Times New Roman" w:hAnsi="Arial" w:cs="Arial"/>
          <w:b/>
          <w:bCs/>
          <w:color w:val="000000"/>
          <w:sz w:val="20"/>
          <w:szCs w:val="20"/>
          <w:lang w:eastAsia="en-IN"/>
        </w:rPr>
        <w:t xml:space="preserve"> properties</w:t>
      </w:r>
    </w:p>
    <w:p w:rsidR="00AD3C6F" w:rsidRPr="00AD3C6F" w:rsidRDefault="00AD3C6F" w:rsidP="00AD3C6F">
      <w:pPr>
        <w:spacing w:after="143" w:line="240" w:lineRule="auto"/>
        <w:rPr>
          <w:rFonts w:ascii="Arial" w:eastAsia="Times New Roman" w:hAnsi="Arial" w:cs="Arial"/>
          <w:lang w:eastAsia="en-IN"/>
        </w:rPr>
      </w:pPr>
      <w:proofErr w:type="spellStart"/>
      <w:r w:rsidRPr="00AD3C6F">
        <w:rPr>
          <w:rFonts w:ascii="Arial" w:eastAsia="Times New Roman" w:hAnsi="Arial" w:cs="Arial"/>
          <w:lang w:eastAsia="en-IN"/>
        </w:rPr>
        <w:t>Pharmacotherapeutic</w:t>
      </w:r>
      <w:proofErr w:type="spellEnd"/>
      <w:r w:rsidRPr="00AD3C6F">
        <w:rPr>
          <w:rFonts w:ascii="Arial" w:eastAsia="Times New Roman" w:hAnsi="Arial" w:cs="Arial"/>
          <w:lang w:eastAsia="en-IN"/>
        </w:rPr>
        <w:t xml:space="preserve"> group: Calcium channel blockers, selective calcium channel blockers with mainly vascular effects. ATC Code: C08CA01.</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 xml:space="preserve">Amlodipine is a calcium ion influx inhibitor of the </w:t>
      </w:r>
      <w:proofErr w:type="spellStart"/>
      <w:r w:rsidRPr="00AD3C6F">
        <w:rPr>
          <w:rFonts w:ascii="Arial" w:eastAsia="Times New Roman" w:hAnsi="Arial" w:cs="Arial"/>
          <w:lang w:eastAsia="en-IN"/>
        </w:rPr>
        <w:t>dihydropyridine</w:t>
      </w:r>
      <w:proofErr w:type="spellEnd"/>
      <w:r w:rsidRPr="00AD3C6F">
        <w:rPr>
          <w:rFonts w:ascii="Arial" w:eastAsia="Times New Roman" w:hAnsi="Arial" w:cs="Arial"/>
          <w:lang w:eastAsia="en-IN"/>
        </w:rPr>
        <w:t xml:space="preserve"> group (slow channel blocker or calcium ion antagonist) and inhibits the </w:t>
      </w:r>
      <w:proofErr w:type="spellStart"/>
      <w:r w:rsidRPr="00AD3C6F">
        <w:rPr>
          <w:rFonts w:ascii="Arial" w:eastAsia="Times New Roman" w:hAnsi="Arial" w:cs="Arial"/>
          <w:lang w:eastAsia="en-IN"/>
        </w:rPr>
        <w:t>transmembrane</w:t>
      </w:r>
      <w:proofErr w:type="spellEnd"/>
      <w:r w:rsidRPr="00AD3C6F">
        <w:rPr>
          <w:rFonts w:ascii="Arial" w:eastAsia="Times New Roman" w:hAnsi="Arial" w:cs="Arial"/>
          <w:lang w:eastAsia="en-IN"/>
        </w:rPr>
        <w:t xml:space="preserve"> influx of calcium ions into cardiac and vascular smooth muscle.</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The mechanism of the antihypertensive action of Amlodipine is due to a direct relaxant effect on vascular smooth muscle. The precise mechanism by which Amlodipine relieves angina has not been fully determined but Amlodipine reduces total ischaemic burden by the following two actions.</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1) Amlodipine dilate peripheral arterioles and thus, reduce the total peripheral resistance (afterload) against which the heart works. Since the heart rate remains stable, this unloading of the heart reduces myocardial energy consumption and oxygen requirements.</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2) The mechanism of action of Amlodipine also probably involves dilatation of the main coronary arteries and coronary arterioles, both in normal and ischaemic regions. This dilatation increases myocardial oxygen delivery in patients with coronary artery spasm (</w:t>
      </w:r>
      <w:proofErr w:type="spellStart"/>
      <w:r w:rsidRPr="00AD3C6F">
        <w:rPr>
          <w:rFonts w:ascii="Arial" w:eastAsia="Times New Roman" w:hAnsi="Arial" w:cs="Arial"/>
          <w:lang w:eastAsia="en-IN"/>
        </w:rPr>
        <w:t>Prinzmetal's</w:t>
      </w:r>
      <w:proofErr w:type="spellEnd"/>
      <w:r w:rsidRPr="00AD3C6F">
        <w:rPr>
          <w:rFonts w:ascii="Arial" w:eastAsia="Times New Roman" w:hAnsi="Arial" w:cs="Arial"/>
          <w:lang w:eastAsia="en-IN"/>
        </w:rPr>
        <w:t xml:space="preserve"> or variant angina).</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In patients with hypertension, once daily dosing provides clinically significant reductions of blood pressure in both the supine and standing positions throughout the 24 hour interval. Due to the slow onset of action, acute hypotension is not a feature of Amlodipine administration.</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 xml:space="preserve">In patients with angina, once daily administration of Amlodipine increases total exercise time, time to angina onset, and time to 1mm ST segment depression, and decreases both angina attack frequency and </w:t>
      </w:r>
      <w:proofErr w:type="spellStart"/>
      <w:r w:rsidRPr="00AD3C6F">
        <w:rPr>
          <w:rFonts w:ascii="Arial" w:eastAsia="Times New Roman" w:hAnsi="Arial" w:cs="Arial"/>
          <w:lang w:eastAsia="en-IN"/>
        </w:rPr>
        <w:t>glyceryl</w:t>
      </w:r>
      <w:proofErr w:type="spellEnd"/>
      <w:r w:rsidRPr="00AD3C6F">
        <w:rPr>
          <w:rFonts w:ascii="Arial" w:eastAsia="Times New Roman" w:hAnsi="Arial" w:cs="Arial"/>
          <w:lang w:eastAsia="en-IN"/>
        </w:rPr>
        <w:t xml:space="preserve"> </w:t>
      </w:r>
      <w:proofErr w:type="spellStart"/>
      <w:r w:rsidRPr="00AD3C6F">
        <w:rPr>
          <w:rFonts w:ascii="Arial" w:eastAsia="Times New Roman" w:hAnsi="Arial" w:cs="Arial"/>
          <w:lang w:eastAsia="en-IN"/>
        </w:rPr>
        <w:t>trinitrate</w:t>
      </w:r>
      <w:proofErr w:type="spellEnd"/>
      <w:r w:rsidRPr="00AD3C6F">
        <w:rPr>
          <w:rFonts w:ascii="Arial" w:eastAsia="Times New Roman" w:hAnsi="Arial" w:cs="Arial"/>
          <w:lang w:eastAsia="en-IN"/>
        </w:rPr>
        <w:t xml:space="preserve"> tablet consumption.</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Amlodipine has not been associated with any adverse metabolic effects or changes in plasma lipids and is suitable for use in patients with asthma, diabetes, and gout.</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u w:val="single"/>
          <w:lang w:eastAsia="en-IN"/>
        </w:rPr>
        <w:t>Use in patients with coronary artery disease (CAD)</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The effectiveness of amlodipine in preventing clinical events in patients with coronary artery disease (CAD) has been evaluated in an independent, multi-centre, randomized, double-blind, placebo-controlled study of 1997 patients;</w:t>
      </w:r>
    </w:p>
    <w:p w:rsidR="00AD3C6F" w:rsidRPr="00AD3C6F" w:rsidRDefault="00AD3C6F" w:rsidP="00AD3C6F">
      <w:pPr>
        <w:spacing w:after="150" w:line="240" w:lineRule="auto"/>
        <w:rPr>
          <w:rFonts w:ascii="Arial" w:eastAsia="Times New Roman" w:hAnsi="Arial" w:cs="Arial"/>
          <w:lang w:eastAsia="en-IN"/>
        </w:rPr>
      </w:pPr>
      <w:r w:rsidRPr="00AD3C6F">
        <w:rPr>
          <w:rFonts w:ascii="Arial" w:eastAsia="Times New Roman" w:hAnsi="Arial" w:cs="Arial"/>
          <w:lang w:eastAsia="en-IN"/>
        </w:rPr>
        <w:lastRenderedPageBreak/>
        <w:t xml:space="preserve">Comparison of Amlodipine vs. </w:t>
      </w:r>
      <w:proofErr w:type="spellStart"/>
      <w:r w:rsidRPr="00AD3C6F">
        <w:rPr>
          <w:rFonts w:ascii="Arial" w:eastAsia="Times New Roman" w:hAnsi="Arial" w:cs="Arial"/>
          <w:lang w:eastAsia="en-IN"/>
        </w:rPr>
        <w:t>Enalapril</w:t>
      </w:r>
      <w:proofErr w:type="spellEnd"/>
      <w:r w:rsidRPr="00AD3C6F">
        <w:rPr>
          <w:rFonts w:ascii="Arial" w:eastAsia="Times New Roman" w:hAnsi="Arial" w:cs="Arial"/>
          <w:lang w:eastAsia="en-IN"/>
        </w:rPr>
        <w:t xml:space="preserve"> to Limit Occurrences of Thrombosis (CAMELOT). Of these patients, 663 were treated with amlodipine 5-10 mg, 673 patients were treated with </w:t>
      </w:r>
      <w:proofErr w:type="spellStart"/>
      <w:r w:rsidRPr="00AD3C6F">
        <w:rPr>
          <w:rFonts w:ascii="Arial" w:eastAsia="Times New Roman" w:hAnsi="Arial" w:cs="Arial"/>
          <w:lang w:eastAsia="en-IN"/>
        </w:rPr>
        <w:t>enalapril</w:t>
      </w:r>
      <w:proofErr w:type="spellEnd"/>
      <w:r w:rsidRPr="00AD3C6F">
        <w:rPr>
          <w:rFonts w:ascii="Arial" w:eastAsia="Times New Roman" w:hAnsi="Arial" w:cs="Arial"/>
          <w:lang w:eastAsia="en-IN"/>
        </w:rPr>
        <w:t xml:space="preserve"> 10-20 mg, and 655 patients were treated with placebo, in addition to standard care of statins, beta-blockers, diuretics and aspirin, for 2 years. The key efficacy results are presented in Table 1. The results indicate that amlodipine treatment was associated with fewer hospitalizations for angina and revascularization procedures in patients with CAD.</w:t>
      </w:r>
    </w:p>
    <w:tbl>
      <w:tblPr>
        <w:tblW w:w="10365" w:type="dxa"/>
        <w:tblBorders>
          <w:top w:val="outset" w:sz="6" w:space="0" w:color="7B7B7B"/>
          <w:left w:val="outset" w:sz="6" w:space="0" w:color="7B7B7B"/>
          <w:bottom w:val="outset" w:sz="6" w:space="0" w:color="7B7B7B"/>
          <w:right w:val="outset" w:sz="6" w:space="0" w:color="7B7B7B"/>
        </w:tblBorders>
        <w:tblCellMar>
          <w:top w:w="30" w:type="dxa"/>
          <w:left w:w="30" w:type="dxa"/>
          <w:bottom w:w="30" w:type="dxa"/>
          <w:right w:w="30" w:type="dxa"/>
        </w:tblCellMar>
        <w:tblLook w:val="04A0" w:firstRow="1" w:lastRow="0" w:firstColumn="1" w:lastColumn="0" w:noHBand="0" w:noVBand="1"/>
      </w:tblPr>
      <w:tblGrid>
        <w:gridCol w:w="3006"/>
        <w:gridCol w:w="1555"/>
        <w:gridCol w:w="1658"/>
        <w:gridCol w:w="1451"/>
        <w:gridCol w:w="1866"/>
        <w:gridCol w:w="829"/>
      </w:tblGrid>
      <w:tr w:rsidR="00AD3C6F" w:rsidRPr="00AD3C6F" w:rsidTr="00AD3C6F">
        <w:tc>
          <w:tcPr>
            <w:tcW w:w="5000" w:type="pct"/>
            <w:gridSpan w:val="6"/>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b/>
                <w:bCs/>
                <w:sz w:val="20"/>
                <w:szCs w:val="20"/>
                <w:lang w:eastAsia="en-IN"/>
              </w:rPr>
              <w:t>Table 1. Incidence of significant clinical outcomes for CAMELOT</w:t>
            </w:r>
          </w:p>
        </w:tc>
      </w:tr>
      <w:tr w:rsidR="00AD3C6F" w:rsidRPr="00AD3C6F" w:rsidTr="00AD3C6F">
        <w:tc>
          <w:tcPr>
            <w:tcW w:w="14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p>
        </w:tc>
        <w:tc>
          <w:tcPr>
            <w:tcW w:w="2250" w:type="pct"/>
            <w:gridSpan w:val="3"/>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u w:val="single"/>
                <w:lang w:eastAsia="en-IN"/>
              </w:rPr>
              <w:t>Cardiovascular event rates, No. (%)</w:t>
            </w:r>
          </w:p>
        </w:tc>
        <w:tc>
          <w:tcPr>
            <w:tcW w:w="1300" w:type="pct"/>
            <w:gridSpan w:val="2"/>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u w:val="single"/>
                <w:lang w:eastAsia="en-IN"/>
              </w:rPr>
              <w:t>Amlodipine vs. Placebo</w:t>
            </w:r>
          </w:p>
        </w:tc>
      </w:tr>
      <w:tr w:rsidR="00AD3C6F" w:rsidRPr="00AD3C6F" w:rsidTr="00AD3C6F">
        <w:tc>
          <w:tcPr>
            <w:tcW w:w="14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Outcomes</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Amlodipine</w:t>
            </w:r>
          </w:p>
        </w:tc>
        <w:tc>
          <w:tcPr>
            <w:tcW w:w="8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Placebo</w:t>
            </w:r>
          </w:p>
        </w:tc>
        <w:tc>
          <w:tcPr>
            <w:tcW w:w="7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proofErr w:type="spellStart"/>
            <w:r w:rsidRPr="00AD3C6F">
              <w:rPr>
                <w:rFonts w:ascii="Arial" w:eastAsia="Times New Roman" w:hAnsi="Arial" w:cs="Arial"/>
                <w:sz w:val="20"/>
                <w:szCs w:val="20"/>
                <w:lang w:eastAsia="en-IN"/>
              </w:rPr>
              <w:t>Enalapril</w:t>
            </w:r>
            <w:proofErr w:type="spellEnd"/>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Hazard Ratio (95% CI)</w:t>
            </w:r>
          </w:p>
        </w:tc>
        <w:tc>
          <w:tcPr>
            <w:tcW w:w="4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i/>
                <w:iCs/>
                <w:sz w:val="20"/>
                <w:szCs w:val="20"/>
                <w:lang w:eastAsia="en-IN"/>
              </w:rPr>
              <w:t>P </w:t>
            </w:r>
            <w:r w:rsidRPr="00AD3C6F">
              <w:rPr>
                <w:rFonts w:ascii="Arial" w:eastAsia="Times New Roman" w:hAnsi="Arial" w:cs="Arial"/>
                <w:sz w:val="20"/>
                <w:szCs w:val="20"/>
                <w:lang w:eastAsia="en-IN"/>
              </w:rPr>
              <w:t>Value</w:t>
            </w:r>
          </w:p>
        </w:tc>
      </w:tr>
      <w:tr w:rsidR="00AD3C6F" w:rsidRPr="00AD3C6F" w:rsidTr="00AD3C6F">
        <w:tc>
          <w:tcPr>
            <w:tcW w:w="14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u w:val="single"/>
                <w:lang w:eastAsia="en-IN"/>
              </w:rPr>
              <w:t>Primary Endpoint</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p>
        </w:tc>
        <w:tc>
          <w:tcPr>
            <w:tcW w:w="8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Times New Roman" w:eastAsia="Times New Roman" w:hAnsi="Times New Roman" w:cs="Times New Roman"/>
                <w:sz w:val="20"/>
                <w:szCs w:val="20"/>
                <w:lang w:eastAsia="en-IN"/>
              </w:rPr>
            </w:pPr>
          </w:p>
        </w:tc>
        <w:tc>
          <w:tcPr>
            <w:tcW w:w="7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Times New Roman" w:eastAsia="Times New Roman" w:hAnsi="Times New Roman" w:cs="Times New Roman"/>
                <w:sz w:val="20"/>
                <w:szCs w:val="20"/>
                <w:lang w:eastAsia="en-IN"/>
              </w:rPr>
            </w:pP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Times New Roman" w:eastAsia="Times New Roman" w:hAnsi="Times New Roman" w:cs="Times New Roman"/>
                <w:sz w:val="20"/>
                <w:szCs w:val="20"/>
                <w:lang w:eastAsia="en-IN"/>
              </w:rPr>
            </w:pPr>
          </w:p>
        </w:tc>
        <w:tc>
          <w:tcPr>
            <w:tcW w:w="4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Times New Roman" w:eastAsia="Times New Roman" w:hAnsi="Times New Roman" w:cs="Times New Roman"/>
                <w:sz w:val="20"/>
                <w:szCs w:val="20"/>
                <w:lang w:eastAsia="en-IN"/>
              </w:rPr>
            </w:pPr>
          </w:p>
        </w:tc>
      </w:tr>
      <w:tr w:rsidR="00AD3C6F" w:rsidRPr="00AD3C6F" w:rsidTr="00AD3C6F">
        <w:tc>
          <w:tcPr>
            <w:tcW w:w="14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Adverse cardiovascular events</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110 (16.6)</w:t>
            </w:r>
          </w:p>
        </w:tc>
        <w:tc>
          <w:tcPr>
            <w:tcW w:w="8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151 (23.1)</w:t>
            </w:r>
          </w:p>
        </w:tc>
        <w:tc>
          <w:tcPr>
            <w:tcW w:w="7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136 (20.2)</w:t>
            </w: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0.69 (0.54-0.88)</w:t>
            </w:r>
          </w:p>
        </w:tc>
        <w:tc>
          <w:tcPr>
            <w:tcW w:w="4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.003</w:t>
            </w:r>
          </w:p>
        </w:tc>
      </w:tr>
      <w:tr w:rsidR="00AD3C6F" w:rsidRPr="00AD3C6F" w:rsidTr="00AD3C6F">
        <w:tc>
          <w:tcPr>
            <w:tcW w:w="14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u w:val="single"/>
                <w:lang w:eastAsia="en-IN"/>
              </w:rPr>
              <w:t>Individual Components</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p>
        </w:tc>
        <w:tc>
          <w:tcPr>
            <w:tcW w:w="8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Times New Roman" w:eastAsia="Times New Roman" w:hAnsi="Times New Roman" w:cs="Times New Roman"/>
                <w:sz w:val="20"/>
                <w:szCs w:val="20"/>
                <w:lang w:eastAsia="en-IN"/>
              </w:rPr>
            </w:pPr>
          </w:p>
        </w:tc>
        <w:tc>
          <w:tcPr>
            <w:tcW w:w="7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Times New Roman" w:eastAsia="Times New Roman" w:hAnsi="Times New Roman" w:cs="Times New Roman"/>
                <w:sz w:val="20"/>
                <w:szCs w:val="20"/>
                <w:lang w:eastAsia="en-IN"/>
              </w:rPr>
            </w:pP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Times New Roman" w:eastAsia="Times New Roman" w:hAnsi="Times New Roman" w:cs="Times New Roman"/>
                <w:sz w:val="20"/>
                <w:szCs w:val="20"/>
                <w:lang w:eastAsia="en-IN"/>
              </w:rPr>
            </w:pPr>
          </w:p>
        </w:tc>
        <w:tc>
          <w:tcPr>
            <w:tcW w:w="4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Times New Roman" w:eastAsia="Times New Roman" w:hAnsi="Times New Roman" w:cs="Times New Roman"/>
                <w:sz w:val="20"/>
                <w:szCs w:val="20"/>
                <w:lang w:eastAsia="en-IN"/>
              </w:rPr>
            </w:pPr>
          </w:p>
        </w:tc>
      </w:tr>
      <w:tr w:rsidR="00AD3C6F" w:rsidRPr="00AD3C6F" w:rsidTr="00AD3C6F">
        <w:tc>
          <w:tcPr>
            <w:tcW w:w="14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Coronary revascularization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78 (11.8)</w:t>
            </w:r>
          </w:p>
        </w:tc>
        <w:tc>
          <w:tcPr>
            <w:tcW w:w="8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103 (15.7)</w:t>
            </w:r>
          </w:p>
        </w:tc>
        <w:tc>
          <w:tcPr>
            <w:tcW w:w="7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95 (14.1)</w:t>
            </w: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0.73 (0.54-0.98)</w:t>
            </w:r>
          </w:p>
        </w:tc>
        <w:tc>
          <w:tcPr>
            <w:tcW w:w="4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.03</w:t>
            </w:r>
          </w:p>
        </w:tc>
      </w:tr>
      <w:tr w:rsidR="00AD3C6F" w:rsidRPr="00AD3C6F" w:rsidTr="00AD3C6F">
        <w:tc>
          <w:tcPr>
            <w:tcW w:w="14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Hospitalization for angina</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51 (7.7)</w:t>
            </w:r>
          </w:p>
        </w:tc>
        <w:tc>
          <w:tcPr>
            <w:tcW w:w="8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84 (12.8)</w:t>
            </w:r>
          </w:p>
        </w:tc>
        <w:tc>
          <w:tcPr>
            <w:tcW w:w="7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86 (12.8)</w:t>
            </w: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0.58 (0.41-0.82)</w:t>
            </w:r>
          </w:p>
        </w:tc>
        <w:tc>
          <w:tcPr>
            <w:tcW w:w="4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.002</w:t>
            </w:r>
          </w:p>
        </w:tc>
      </w:tr>
      <w:tr w:rsidR="00AD3C6F" w:rsidRPr="00AD3C6F" w:rsidTr="00AD3C6F">
        <w:tc>
          <w:tcPr>
            <w:tcW w:w="14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Nonfatal MI</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14 (2.1)</w:t>
            </w:r>
          </w:p>
        </w:tc>
        <w:tc>
          <w:tcPr>
            <w:tcW w:w="8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19 (2.9)</w:t>
            </w:r>
          </w:p>
        </w:tc>
        <w:tc>
          <w:tcPr>
            <w:tcW w:w="7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11 (1.6)</w:t>
            </w: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0.73 (0.37-1.46)</w:t>
            </w:r>
          </w:p>
        </w:tc>
        <w:tc>
          <w:tcPr>
            <w:tcW w:w="4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.37</w:t>
            </w:r>
          </w:p>
        </w:tc>
      </w:tr>
      <w:tr w:rsidR="00AD3C6F" w:rsidRPr="00AD3C6F" w:rsidTr="00AD3C6F">
        <w:tc>
          <w:tcPr>
            <w:tcW w:w="14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Stroke or TIA</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6 (0.9)</w:t>
            </w:r>
          </w:p>
        </w:tc>
        <w:tc>
          <w:tcPr>
            <w:tcW w:w="8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12 (1.8)</w:t>
            </w:r>
          </w:p>
        </w:tc>
        <w:tc>
          <w:tcPr>
            <w:tcW w:w="7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8 (1.2)</w:t>
            </w: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0.50 (0.19-1.32)</w:t>
            </w:r>
          </w:p>
        </w:tc>
        <w:tc>
          <w:tcPr>
            <w:tcW w:w="4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.15</w:t>
            </w:r>
          </w:p>
        </w:tc>
      </w:tr>
      <w:tr w:rsidR="00AD3C6F" w:rsidRPr="00AD3C6F" w:rsidTr="00AD3C6F">
        <w:tc>
          <w:tcPr>
            <w:tcW w:w="14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Cardiovascular death</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5 (0.8)</w:t>
            </w:r>
          </w:p>
        </w:tc>
        <w:tc>
          <w:tcPr>
            <w:tcW w:w="8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2 (0.3)</w:t>
            </w:r>
          </w:p>
        </w:tc>
        <w:tc>
          <w:tcPr>
            <w:tcW w:w="7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5 (0.7)</w:t>
            </w: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2.46 (0.48-12.7)</w:t>
            </w:r>
          </w:p>
        </w:tc>
        <w:tc>
          <w:tcPr>
            <w:tcW w:w="4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.27</w:t>
            </w:r>
          </w:p>
        </w:tc>
      </w:tr>
      <w:tr w:rsidR="00AD3C6F" w:rsidRPr="00AD3C6F" w:rsidTr="00AD3C6F">
        <w:tc>
          <w:tcPr>
            <w:tcW w:w="14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Hospitalization for CHF</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3 (0.5)</w:t>
            </w:r>
          </w:p>
        </w:tc>
        <w:tc>
          <w:tcPr>
            <w:tcW w:w="8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5 (0.8)</w:t>
            </w:r>
          </w:p>
        </w:tc>
        <w:tc>
          <w:tcPr>
            <w:tcW w:w="7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4 (0.6)</w:t>
            </w: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0.59 (0.14-2.47)</w:t>
            </w:r>
          </w:p>
        </w:tc>
        <w:tc>
          <w:tcPr>
            <w:tcW w:w="4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.46</w:t>
            </w:r>
          </w:p>
        </w:tc>
      </w:tr>
      <w:tr w:rsidR="00AD3C6F" w:rsidRPr="00AD3C6F" w:rsidTr="00AD3C6F">
        <w:tc>
          <w:tcPr>
            <w:tcW w:w="14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Resuscitated cardiac arrest</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0</w:t>
            </w:r>
          </w:p>
        </w:tc>
        <w:tc>
          <w:tcPr>
            <w:tcW w:w="8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4 (0.6)</w:t>
            </w:r>
          </w:p>
        </w:tc>
        <w:tc>
          <w:tcPr>
            <w:tcW w:w="7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1 (0.1)</w:t>
            </w: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NA</w:t>
            </w:r>
          </w:p>
        </w:tc>
        <w:tc>
          <w:tcPr>
            <w:tcW w:w="4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.04</w:t>
            </w:r>
          </w:p>
        </w:tc>
      </w:tr>
      <w:tr w:rsidR="00AD3C6F" w:rsidRPr="00AD3C6F" w:rsidTr="00AD3C6F">
        <w:tc>
          <w:tcPr>
            <w:tcW w:w="14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New-onset peripheral vascular disease</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5 (0.8)</w:t>
            </w:r>
          </w:p>
        </w:tc>
        <w:tc>
          <w:tcPr>
            <w:tcW w:w="8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2 (0.3)</w:t>
            </w:r>
          </w:p>
        </w:tc>
        <w:tc>
          <w:tcPr>
            <w:tcW w:w="7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8 (1.2)</w:t>
            </w: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2.6 (0.50-13.4)</w:t>
            </w:r>
          </w:p>
        </w:tc>
        <w:tc>
          <w:tcPr>
            <w:tcW w:w="400" w:type="pct"/>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jc w:val="center"/>
              <w:rPr>
                <w:rFonts w:ascii="Arial" w:eastAsia="Times New Roman" w:hAnsi="Arial" w:cs="Arial"/>
                <w:sz w:val="20"/>
                <w:szCs w:val="20"/>
                <w:lang w:eastAsia="en-IN"/>
              </w:rPr>
            </w:pPr>
            <w:r w:rsidRPr="00AD3C6F">
              <w:rPr>
                <w:rFonts w:ascii="Arial" w:eastAsia="Times New Roman" w:hAnsi="Arial" w:cs="Arial"/>
                <w:sz w:val="20"/>
                <w:szCs w:val="20"/>
                <w:lang w:eastAsia="en-IN"/>
              </w:rPr>
              <w:t>.24</w:t>
            </w:r>
          </w:p>
        </w:tc>
      </w:tr>
      <w:tr w:rsidR="00AD3C6F" w:rsidRPr="00AD3C6F" w:rsidTr="00AD3C6F">
        <w:tc>
          <w:tcPr>
            <w:tcW w:w="5000" w:type="pct"/>
            <w:gridSpan w:val="6"/>
            <w:tcBorders>
              <w:top w:val="outset" w:sz="6" w:space="0" w:color="7B7B7B"/>
              <w:left w:val="outset" w:sz="6" w:space="0" w:color="7B7B7B"/>
              <w:bottom w:val="outset" w:sz="6" w:space="0" w:color="7B7B7B"/>
              <w:right w:val="outset" w:sz="6" w:space="0" w:color="7B7B7B"/>
            </w:tcBorders>
            <w:shd w:val="clear" w:color="auto" w:fill="auto"/>
            <w:hideMark/>
          </w:tcPr>
          <w:p w:rsidR="00AD3C6F" w:rsidRPr="00AD3C6F" w:rsidRDefault="00AD3C6F" w:rsidP="00AD3C6F">
            <w:pPr>
              <w:spacing w:after="0" w:line="240" w:lineRule="auto"/>
              <w:rPr>
                <w:rFonts w:ascii="Arial" w:eastAsia="Times New Roman" w:hAnsi="Arial" w:cs="Arial"/>
                <w:sz w:val="20"/>
                <w:szCs w:val="20"/>
                <w:lang w:eastAsia="en-IN"/>
              </w:rPr>
            </w:pPr>
            <w:r w:rsidRPr="00AD3C6F">
              <w:rPr>
                <w:rFonts w:ascii="Arial" w:eastAsia="Times New Roman" w:hAnsi="Arial" w:cs="Arial"/>
                <w:sz w:val="20"/>
                <w:szCs w:val="20"/>
                <w:lang w:eastAsia="en-IN"/>
              </w:rPr>
              <w:t>Abbreviations: CHF, congestive heart failure; CI, confidence interval; MI, myocardial infarction; TIA, transient ischemic attack.</w:t>
            </w:r>
          </w:p>
        </w:tc>
      </w:tr>
    </w:tbl>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u w:val="single"/>
          <w:lang w:eastAsia="en-IN"/>
        </w:rPr>
        <w:t>Use in Patients with Heart Failure</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Haemodynamic studies and exercise based controlled clinical trials in NYHA Class II- IV heart failure patients have shown that amlodipine tablets did not lead to clinical deteriorations as measured by exercise tolerance, left ventricular ejection fraction and clinical symptomatology.</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A placebo controlled study (PRAISE) designed to evaluate patients in NYHA Class III-IV heart failure receiving digoxin, diuretics and ACE inhibitors has shown that amlodipine tablets did not lead to an increase in risk of mortality or combined mortality and morbidity with heart failure.</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In a follow-up, long term, placebo controlled study (PRAISE-2) of Amlodipine tablets in patients with NYHA III and IV heart failure without clinical symptoms or objective findings suggestive or underlying ischaemic disease, on stable doses of ACE inhibitors, digitalis, and diuretics, Amlodipine tablets had no effect on total cardiovascular mortality. In this same population Amlodipine tablets were associated with increased reports of pulmonary oedema</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u w:val="single"/>
          <w:lang w:eastAsia="en-IN"/>
        </w:rPr>
        <w:t>Treatment to prevent heart attack trial (ALLHAT)</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 xml:space="preserve">A randomized double-blind morbidity-mortality study called the Antihypertensive and Lipid-Lowering Treatment to Prevent Heart Attack Trial (ALLHAT) was performed to compare newer drug therapies: amlodipine 2.5- 10 mg/d (calcium channel blocker) or </w:t>
      </w:r>
      <w:proofErr w:type="spellStart"/>
      <w:r w:rsidRPr="00AD3C6F">
        <w:rPr>
          <w:rFonts w:ascii="Arial" w:eastAsia="Times New Roman" w:hAnsi="Arial" w:cs="Arial"/>
          <w:lang w:eastAsia="en-IN"/>
        </w:rPr>
        <w:t>lisinopril</w:t>
      </w:r>
      <w:proofErr w:type="spellEnd"/>
      <w:r w:rsidRPr="00AD3C6F">
        <w:rPr>
          <w:rFonts w:ascii="Arial" w:eastAsia="Times New Roman" w:hAnsi="Arial" w:cs="Arial"/>
          <w:lang w:eastAsia="en-IN"/>
        </w:rPr>
        <w:t xml:space="preserve"> 10-40 mg/d (ACE-inhibitor) as first-line therapies to that of the thiazide-diuretic, </w:t>
      </w:r>
      <w:proofErr w:type="spellStart"/>
      <w:r w:rsidRPr="00AD3C6F">
        <w:rPr>
          <w:rFonts w:ascii="Arial" w:eastAsia="Times New Roman" w:hAnsi="Arial" w:cs="Arial"/>
          <w:lang w:eastAsia="en-IN"/>
        </w:rPr>
        <w:t>chlorthalidone</w:t>
      </w:r>
      <w:proofErr w:type="spellEnd"/>
      <w:r w:rsidRPr="00AD3C6F">
        <w:rPr>
          <w:rFonts w:ascii="Arial" w:eastAsia="Times New Roman" w:hAnsi="Arial" w:cs="Arial"/>
          <w:lang w:eastAsia="en-IN"/>
        </w:rPr>
        <w:t xml:space="preserve"> 12.5-25 mg/d in mild to moderate hypertension.</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 xml:space="preserve">A total of 33,357 hypertensive patients aged 55 or older were randomized and followed for a mean of 4.9 years. The patients had at least one additional CHD risk factor, including: previous myocardial infarction or stroke (&gt; 6 months prior to </w:t>
      </w:r>
      <w:proofErr w:type="spellStart"/>
      <w:r w:rsidRPr="00AD3C6F">
        <w:rPr>
          <w:rFonts w:ascii="Arial" w:eastAsia="Times New Roman" w:hAnsi="Arial" w:cs="Arial"/>
          <w:lang w:eastAsia="en-IN"/>
        </w:rPr>
        <w:t>enrollment</w:t>
      </w:r>
      <w:proofErr w:type="spellEnd"/>
      <w:r w:rsidRPr="00AD3C6F">
        <w:rPr>
          <w:rFonts w:ascii="Arial" w:eastAsia="Times New Roman" w:hAnsi="Arial" w:cs="Arial"/>
          <w:lang w:eastAsia="en-IN"/>
        </w:rPr>
        <w:t>) or documentation of other atherosclerotic CVD (overall 51.5%), type 2 diabetes (36.1%), HDL-C &lt; 35 mg/</w:t>
      </w:r>
      <w:proofErr w:type="spellStart"/>
      <w:r w:rsidRPr="00AD3C6F">
        <w:rPr>
          <w:rFonts w:ascii="Arial" w:eastAsia="Times New Roman" w:hAnsi="Arial" w:cs="Arial"/>
          <w:lang w:eastAsia="en-IN"/>
        </w:rPr>
        <w:t>dL</w:t>
      </w:r>
      <w:proofErr w:type="spellEnd"/>
      <w:r w:rsidRPr="00AD3C6F">
        <w:rPr>
          <w:rFonts w:ascii="Arial" w:eastAsia="Times New Roman" w:hAnsi="Arial" w:cs="Arial"/>
          <w:lang w:eastAsia="en-IN"/>
        </w:rPr>
        <w:t xml:space="preserve"> </w:t>
      </w:r>
      <w:r w:rsidRPr="00AD3C6F">
        <w:rPr>
          <w:rFonts w:ascii="Arial" w:eastAsia="Times New Roman" w:hAnsi="Arial" w:cs="Arial"/>
          <w:lang w:eastAsia="en-IN"/>
        </w:rPr>
        <w:lastRenderedPageBreak/>
        <w:t>(11.6%), left ventricular hypertrophy diagnosed by electrocardiogram or echocardiography (20.9%), current cigarette smoking (21.9%).</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 xml:space="preserve">The primary endpoint was a composite of fatal CHD or non-fatal myocardial infarction. There was no significant difference in the primary endpoint between amlodipine-based therapy and </w:t>
      </w:r>
      <w:proofErr w:type="spellStart"/>
      <w:r w:rsidRPr="00AD3C6F">
        <w:rPr>
          <w:rFonts w:ascii="Arial" w:eastAsia="Times New Roman" w:hAnsi="Arial" w:cs="Arial"/>
          <w:lang w:eastAsia="en-IN"/>
        </w:rPr>
        <w:t>chlorthalidone</w:t>
      </w:r>
      <w:proofErr w:type="spellEnd"/>
      <w:r w:rsidRPr="00AD3C6F">
        <w:rPr>
          <w:rFonts w:ascii="Arial" w:eastAsia="Times New Roman" w:hAnsi="Arial" w:cs="Arial"/>
          <w:lang w:eastAsia="en-IN"/>
        </w:rPr>
        <w:t xml:space="preserve">-based therapy: RR 0.98 95% CI (0.90-1.07) p=0.65. Among Secondary Endpoints, the incidence of heart failure (component of a composite combined cardiovascular endpoint) was significantly higher in the amlodipine group as compared to the </w:t>
      </w:r>
      <w:proofErr w:type="spellStart"/>
      <w:r w:rsidRPr="00AD3C6F">
        <w:rPr>
          <w:rFonts w:ascii="Arial" w:eastAsia="Times New Roman" w:hAnsi="Arial" w:cs="Arial"/>
          <w:lang w:eastAsia="en-IN"/>
        </w:rPr>
        <w:t>chlorthalidone</w:t>
      </w:r>
      <w:proofErr w:type="spellEnd"/>
      <w:r w:rsidRPr="00AD3C6F">
        <w:rPr>
          <w:rFonts w:ascii="Arial" w:eastAsia="Times New Roman" w:hAnsi="Arial" w:cs="Arial"/>
          <w:lang w:eastAsia="en-IN"/>
        </w:rPr>
        <w:t xml:space="preserve"> group (10.2% </w:t>
      </w:r>
      <w:proofErr w:type="spellStart"/>
      <w:r w:rsidRPr="00AD3C6F">
        <w:rPr>
          <w:rFonts w:ascii="Arial" w:eastAsia="Times New Roman" w:hAnsi="Arial" w:cs="Arial"/>
          <w:lang w:eastAsia="en-IN"/>
        </w:rPr>
        <w:t>vs</w:t>
      </w:r>
      <w:proofErr w:type="spellEnd"/>
      <w:r w:rsidRPr="00AD3C6F">
        <w:rPr>
          <w:rFonts w:ascii="Arial" w:eastAsia="Times New Roman" w:hAnsi="Arial" w:cs="Arial"/>
          <w:lang w:eastAsia="en-IN"/>
        </w:rPr>
        <w:t xml:space="preserve"> 7.7%, RR 1.38, 95% CI [1.25-1.52] p&lt;0.001).</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 xml:space="preserve">However, there was no significant difference in all-cause mortality between amlodipine-based therapy and </w:t>
      </w:r>
      <w:proofErr w:type="spellStart"/>
      <w:r w:rsidRPr="00AD3C6F">
        <w:rPr>
          <w:rFonts w:ascii="Arial" w:eastAsia="Times New Roman" w:hAnsi="Arial" w:cs="Arial"/>
          <w:lang w:eastAsia="en-IN"/>
        </w:rPr>
        <w:t>chlorthalidone</w:t>
      </w:r>
      <w:proofErr w:type="spellEnd"/>
      <w:r w:rsidRPr="00AD3C6F">
        <w:rPr>
          <w:rFonts w:ascii="Arial" w:eastAsia="Times New Roman" w:hAnsi="Arial" w:cs="Arial"/>
          <w:lang w:eastAsia="en-IN"/>
        </w:rPr>
        <w:t>-based therapy. RR 0.96 95% CI [0.89-1.02] p=0.20.</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u w:val="single"/>
          <w:lang w:eastAsia="en-IN"/>
        </w:rPr>
        <w:t>Use in children (aged 6 years and older)</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In a study involving 268 children aged 6-17 years with predominantly secondary hypertension, comparison of a 2.5mg dose, and 5.0mg dose of amlodipine with placebo, showed that both doses reduced Systolic Blood Pressure significantly more than placebo. The difference between the two doses was not statistically significant.</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The long-term effects of amlodipine on growth, puberty and general development have not been studied. The long-term efficacy of amlodipine on therapy in childhood to reduce cardiovascular morbidity and mortality in adulthood have also not been established.</w:t>
      </w:r>
    </w:p>
    <w:p w:rsidR="00AD3C6F" w:rsidRPr="00AD3C6F" w:rsidRDefault="00AD3C6F" w:rsidP="00AD3C6F">
      <w:pPr>
        <w:spacing w:after="0" w:line="240" w:lineRule="auto"/>
        <w:rPr>
          <w:rFonts w:ascii="Arial" w:eastAsia="Times New Roman" w:hAnsi="Arial" w:cs="Arial"/>
          <w:b/>
          <w:bCs/>
          <w:color w:val="000000"/>
          <w:sz w:val="20"/>
          <w:szCs w:val="20"/>
          <w:lang w:eastAsia="en-IN"/>
        </w:rPr>
      </w:pPr>
      <w:r w:rsidRPr="00AD3C6F">
        <w:rPr>
          <w:rFonts w:ascii="Arial" w:eastAsia="Times New Roman" w:hAnsi="Arial" w:cs="Arial"/>
          <w:b/>
          <w:bCs/>
          <w:color w:val="000000"/>
          <w:sz w:val="20"/>
          <w:szCs w:val="20"/>
          <w:lang w:eastAsia="en-IN"/>
        </w:rPr>
        <w:t>5.2 Pharmacokinetic properties</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u w:val="single"/>
          <w:lang w:eastAsia="en-IN"/>
        </w:rPr>
        <w:t>Absorption, distribution, plasma protein binding:</w:t>
      </w:r>
      <w:r w:rsidRPr="00AD3C6F">
        <w:rPr>
          <w:rFonts w:ascii="Arial" w:eastAsia="Times New Roman" w:hAnsi="Arial" w:cs="Arial"/>
          <w:lang w:eastAsia="en-IN"/>
        </w:rPr>
        <w:t> After oral administration of therapeutic doses, amlodipine is well absorbed with peak blood levels between 6-12 hours post dose. Absolute bioavailability has been estimated to be between 64 and 80%. The volume of distribution is approximately 21 l/kg.</w:t>
      </w:r>
    </w:p>
    <w:p w:rsidR="00AD3C6F" w:rsidRPr="00AD3C6F" w:rsidRDefault="00AD3C6F" w:rsidP="00AD3C6F">
      <w:pPr>
        <w:spacing w:after="143" w:line="240" w:lineRule="auto"/>
        <w:rPr>
          <w:rFonts w:ascii="Arial" w:eastAsia="Times New Roman" w:hAnsi="Arial" w:cs="Arial"/>
          <w:lang w:eastAsia="en-IN"/>
        </w:rPr>
      </w:pPr>
      <w:proofErr w:type="spellStart"/>
      <w:r w:rsidRPr="00AD3C6F">
        <w:rPr>
          <w:rFonts w:ascii="Arial" w:eastAsia="Times New Roman" w:hAnsi="Arial" w:cs="Arial"/>
          <w:i/>
          <w:iCs/>
          <w:lang w:eastAsia="en-IN"/>
        </w:rPr>
        <w:t>Invitro</w:t>
      </w:r>
      <w:proofErr w:type="spellEnd"/>
      <w:r w:rsidRPr="00AD3C6F">
        <w:rPr>
          <w:rFonts w:ascii="Arial" w:eastAsia="Times New Roman" w:hAnsi="Arial" w:cs="Arial"/>
          <w:i/>
          <w:iCs/>
          <w:lang w:eastAsia="en-IN"/>
        </w:rPr>
        <w:t> </w:t>
      </w:r>
      <w:r w:rsidRPr="00AD3C6F">
        <w:rPr>
          <w:rFonts w:ascii="Arial" w:eastAsia="Times New Roman" w:hAnsi="Arial" w:cs="Arial"/>
          <w:lang w:eastAsia="en-IN"/>
        </w:rPr>
        <w:t>studies have shown that approximately 97.5% of circulating amlodipine is bound to plasma proteins.</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The bioavailability of amlodipine is not affected by food intake.</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u w:val="single"/>
          <w:lang w:eastAsia="en-IN"/>
        </w:rPr>
        <w:t>Biotransformation/elimination</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 xml:space="preserve">The terminal plasma elimination </w:t>
      </w:r>
      <w:proofErr w:type="spellStart"/>
      <w:r w:rsidRPr="00AD3C6F">
        <w:rPr>
          <w:rFonts w:ascii="Arial" w:eastAsia="Times New Roman" w:hAnsi="Arial" w:cs="Arial"/>
          <w:lang w:eastAsia="en-IN"/>
        </w:rPr>
        <w:t>half life</w:t>
      </w:r>
      <w:proofErr w:type="spellEnd"/>
      <w:r w:rsidRPr="00AD3C6F">
        <w:rPr>
          <w:rFonts w:ascii="Arial" w:eastAsia="Times New Roman" w:hAnsi="Arial" w:cs="Arial"/>
          <w:lang w:eastAsia="en-IN"/>
        </w:rPr>
        <w:t xml:space="preserve"> is about 35-50 hours and is consistent with once daily dosing. Amlodipine is extensively metabolised by the liver to inactive metabolites with 10% of the parent compound and 60% of metabolites excreted in the urine.</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i/>
          <w:iCs/>
          <w:lang w:eastAsia="en-IN"/>
        </w:rPr>
        <w:t>Hepatic impairment</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Very limited clinical data are available regarding amlodipine administration in patients with hepatic impairment. Patients with hepatic insufficiency have decreased clearance of amlodipine resulting in a longer half-life and an increase in AUC of approximately 40-60%.</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E</w:t>
      </w:r>
      <w:r w:rsidRPr="00AD3C6F">
        <w:rPr>
          <w:rFonts w:ascii="Arial" w:eastAsia="Times New Roman" w:hAnsi="Arial" w:cs="Arial"/>
          <w:i/>
          <w:iCs/>
          <w:lang w:eastAsia="en-IN"/>
        </w:rPr>
        <w:t>lderly population</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The time to reach peak plasma concentrations of amlodipine is similar in elderly and younger subjects. Amlodipine clearance tends to be decreased with resulting increases in AUC and elimination half-life in elderly patients. Increases in AUC and elimination half-life in patients with congestive heart failure were as expected for the patient age group studied.</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i/>
          <w:iCs/>
          <w:lang w:eastAsia="en-IN"/>
        </w:rPr>
        <w:t>Paediatric population</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A population PK study has been conducted in 74 hypertensive children aged from 1 to 17 years (with 34 patients aged 6 to 12 years and 28 patients aged 13 to 17 years) receiving amlodipine between 1.25 and 20 mg given either once or twice daily. In children 6 to 12 years and in adolescents 13-17 years of age the typical oral clearance (CL/F) was 22.5 and 27.4 L/</w:t>
      </w:r>
      <w:proofErr w:type="spellStart"/>
      <w:r w:rsidRPr="00AD3C6F">
        <w:rPr>
          <w:rFonts w:ascii="Arial" w:eastAsia="Times New Roman" w:hAnsi="Arial" w:cs="Arial"/>
          <w:lang w:eastAsia="en-IN"/>
        </w:rPr>
        <w:t>hr</w:t>
      </w:r>
      <w:proofErr w:type="spellEnd"/>
      <w:r w:rsidRPr="00AD3C6F">
        <w:rPr>
          <w:rFonts w:ascii="Arial" w:eastAsia="Times New Roman" w:hAnsi="Arial" w:cs="Arial"/>
          <w:lang w:eastAsia="en-IN"/>
        </w:rPr>
        <w:t xml:space="preserve"> respectively in males and 16.4 and 21.3 L/</w:t>
      </w:r>
      <w:proofErr w:type="spellStart"/>
      <w:r w:rsidRPr="00AD3C6F">
        <w:rPr>
          <w:rFonts w:ascii="Arial" w:eastAsia="Times New Roman" w:hAnsi="Arial" w:cs="Arial"/>
          <w:lang w:eastAsia="en-IN"/>
        </w:rPr>
        <w:t>hr</w:t>
      </w:r>
      <w:proofErr w:type="spellEnd"/>
      <w:r w:rsidRPr="00AD3C6F">
        <w:rPr>
          <w:rFonts w:ascii="Arial" w:eastAsia="Times New Roman" w:hAnsi="Arial" w:cs="Arial"/>
          <w:lang w:eastAsia="en-IN"/>
        </w:rPr>
        <w:t xml:space="preserve"> respectively in females. Large </w:t>
      </w:r>
      <w:r w:rsidRPr="00AD3C6F">
        <w:rPr>
          <w:rFonts w:ascii="Arial" w:eastAsia="Times New Roman" w:hAnsi="Arial" w:cs="Arial"/>
          <w:lang w:eastAsia="en-IN"/>
        </w:rPr>
        <w:lastRenderedPageBreak/>
        <w:t>variability in exposure between individuals was observed. Data reported in children below 6 years is limited.</w:t>
      </w:r>
    </w:p>
    <w:p w:rsidR="00AD3C6F" w:rsidRPr="00AD3C6F" w:rsidRDefault="00AD3C6F" w:rsidP="00AD3C6F">
      <w:pPr>
        <w:spacing w:after="0" w:line="240" w:lineRule="auto"/>
        <w:rPr>
          <w:rFonts w:ascii="Arial" w:eastAsia="Times New Roman" w:hAnsi="Arial" w:cs="Arial"/>
          <w:b/>
          <w:bCs/>
          <w:color w:val="000000"/>
          <w:sz w:val="20"/>
          <w:szCs w:val="20"/>
          <w:lang w:eastAsia="en-IN"/>
        </w:rPr>
      </w:pPr>
      <w:r w:rsidRPr="00AD3C6F">
        <w:rPr>
          <w:rFonts w:ascii="Arial" w:eastAsia="Times New Roman" w:hAnsi="Arial" w:cs="Arial"/>
          <w:b/>
          <w:bCs/>
          <w:color w:val="000000"/>
          <w:sz w:val="20"/>
          <w:szCs w:val="20"/>
          <w:lang w:eastAsia="en-IN"/>
        </w:rPr>
        <w:t>5.3 Preclinical safety data</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u w:val="single"/>
          <w:lang w:eastAsia="en-IN"/>
        </w:rPr>
        <w:t>Reproductive toxicology</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Reproductive studies in rats and mice have shown delayed date of delivery, prolonged duration of labour and decreased pup survival at dosages approximately 50 times greater than the maximum recommended dosage for humans based on mg/kg.</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u w:val="single"/>
          <w:lang w:eastAsia="en-IN"/>
        </w:rPr>
        <w:t>Impairment of fertility</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 xml:space="preserve">There was no effect on the fertility of rats treated with amlodipine (males for 64 days and </w:t>
      </w:r>
      <w:proofErr w:type="gramStart"/>
      <w:r w:rsidRPr="00AD3C6F">
        <w:rPr>
          <w:rFonts w:ascii="Arial" w:eastAsia="Times New Roman" w:hAnsi="Arial" w:cs="Arial"/>
          <w:lang w:eastAsia="en-IN"/>
        </w:rPr>
        <w:t>females</w:t>
      </w:r>
      <w:proofErr w:type="gramEnd"/>
      <w:r w:rsidRPr="00AD3C6F">
        <w:rPr>
          <w:rFonts w:ascii="Arial" w:eastAsia="Times New Roman" w:hAnsi="Arial" w:cs="Arial"/>
          <w:lang w:eastAsia="en-IN"/>
        </w:rPr>
        <w:t xml:space="preserve"> 14 days prior to mating) at doses up to 10 mg/kg/day (8 times* the maximum recommended human dose of 10 mg on a mg/m</w:t>
      </w:r>
      <w:r w:rsidRPr="00AD3C6F">
        <w:rPr>
          <w:rFonts w:ascii="Arial" w:eastAsia="Times New Roman" w:hAnsi="Arial" w:cs="Arial"/>
          <w:sz w:val="14"/>
          <w:szCs w:val="14"/>
          <w:vertAlign w:val="superscript"/>
          <w:lang w:eastAsia="en-IN"/>
        </w:rPr>
        <w:t>2</w:t>
      </w:r>
      <w:r w:rsidRPr="00AD3C6F">
        <w:rPr>
          <w:rFonts w:ascii="Arial" w:eastAsia="Times New Roman" w:hAnsi="Arial" w:cs="Arial"/>
          <w:lang w:eastAsia="en-IN"/>
        </w:rPr>
        <w:t xml:space="preserve"> basis). In another rat study in which male rats were treated with amlodipine </w:t>
      </w:r>
      <w:proofErr w:type="spellStart"/>
      <w:r w:rsidRPr="00AD3C6F">
        <w:rPr>
          <w:rFonts w:ascii="Arial" w:eastAsia="Times New Roman" w:hAnsi="Arial" w:cs="Arial"/>
          <w:lang w:eastAsia="en-IN"/>
        </w:rPr>
        <w:t>besilate</w:t>
      </w:r>
      <w:proofErr w:type="spellEnd"/>
      <w:r w:rsidRPr="00AD3C6F">
        <w:rPr>
          <w:rFonts w:ascii="Arial" w:eastAsia="Times New Roman" w:hAnsi="Arial" w:cs="Arial"/>
          <w:lang w:eastAsia="en-IN"/>
        </w:rPr>
        <w:t xml:space="preserve"> for 30 days at a dose comparable with the human dose based on mg/kg, decreased plasma follicle-stimulating hormone and testosterone were found as well as decreases in sperm density and in the number of mature spermatids and </w:t>
      </w:r>
      <w:proofErr w:type="spellStart"/>
      <w:r w:rsidRPr="00AD3C6F">
        <w:rPr>
          <w:rFonts w:ascii="Arial" w:eastAsia="Times New Roman" w:hAnsi="Arial" w:cs="Arial"/>
          <w:lang w:eastAsia="en-IN"/>
        </w:rPr>
        <w:t>Sertoli</w:t>
      </w:r>
      <w:proofErr w:type="spellEnd"/>
      <w:r w:rsidRPr="00AD3C6F">
        <w:rPr>
          <w:rFonts w:ascii="Arial" w:eastAsia="Times New Roman" w:hAnsi="Arial" w:cs="Arial"/>
          <w:lang w:eastAsia="en-IN"/>
        </w:rPr>
        <w:t xml:space="preserve"> cells.</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u w:val="single"/>
          <w:lang w:eastAsia="en-IN"/>
        </w:rPr>
        <w:t>Carcinogenesis, mutagenesis</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 xml:space="preserve">Rats and mice treated with amlodipine in the diet for two years, at concentrations calculated to provide daily dosage levels of 0.5, 1.25, and 2.5 mg/kg/day showed no evidence of carcinogenicity. The highest dose (for mice, similar to, and for rats twice* the maximum recommended clinical dose of 10 mg on </w:t>
      </w:r>
      <w:proofErr w:type="gramStart"/>
      <w:r w:rsidRPr="00AD3C6F">
        <w:rPr>
          <w:rFonts w:ascii="Arial" w:eastAsia="Times New Roman" w:hAnsi="Arial" w:cs="Arial"/>
          <w:lang w:eastAsia="en-IN"/>
        </w:rPr>
        <w:t>a</w:t>
      </w:r>
      <w:proofErr w:type="gramEnd"/>
      <w:r w:rsidRPr="00AD3C6F">
        <w:rPr>
          <w:rFonts w:ascii="Arial" w:eastAsia="Times New Roman" w:hAnsi="Arial" w:cs="Arial"/>
          <w:lang w:eastAsia="en-IN"/>
        </w:rPr>
        <w:t xml:space="preserve"> mg/m</w:t>
      </w:r>
      <w:r w:rsidRPr="00AD3C6F">
        <w:rPr>
          <w:rFonts w:ascii="Arial" w:eastAsia="Times New Roman" w:hAnsi="Arial" w:cs="Arial"/>
          <w:sz w:val="14"/>
          <w:szCs w:val="14"/>
          <w:vertAlign w:val="superscript"/>
          <w:lang w:eastAsia="en-IN"/>
        </w:rPr>
        <w:t>2</w:t>
      </w:r>
      <w:r w:rsidRPr="00AD3C6F">
        <w:rPr>
          <w:rFonts w:ascii="Arial" w:eastAsia="Times New Roman" w:hAnsi="Arial" w:cs="Arial"/>
          <w:lang w:eastAsia="en-IN"/>
        </w:rPr>
        <w:t> basis) was close to the maximum tolerated dose for mice but not for rats.</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Mutagenicity studies revealed no drug related effects at either the gene or chromosome levels.</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*Based on patient weight of 50 kg</w:t>
      </w:r>
    </w:p>
    <w:p w:rsidR="00AD3C6F" w:rsidRPr="00AD3C6F" w:rsidRDefault="00AD3C6F" w:rsidP="00AD3C6F">
      <w:pPr>
        <w:spacing w:after="150" w:line="240" w:lineRule="auto"/>
        <w:rPr>
          <w:rFonts w:ascii="Arial" w:eastAsia="Times New Roman" w:hAnsi="Arial" w:cs="Arial"/>
          <w:b/>
          <w:bCs/>
          <w:color w:val="397360"/>
          <w:sz w:val="26"/>
          <w:szCs w:val="26"/>
          <w:lang w:eastAsia="en-IN"/>
        </w:rPr>
      </w:pPr>
      <w:r w:rsidRPr="00AD3C6F">
        <w:rPr>
          <w:rFonts w:ascii="Arial" w:eastAsia="Times New Roman" w:hAnsi="Arial" w:cs="Arial"/>
          <w:b/>
          <w:bCs/>
          <w:color w:val="397360"/>
          <w:sz w:val="26"/>
          <w:szCs w:val="26"/>
          <w:lang w:eastAsia="en-IN"/>
        </w:rPr>
        <w:t>6. Pharmaceutical particulars</w:t>
      </w:r>
    </w:p>
    <w:p w:rsidR="00AD3C6F" w:rsidRPr="00AD3C6F" w:rsidRDefault="00AD3C6F" w:rsidP="00AD3C6F">
      <w:pPr>
        <w:spacing w:after="0" w:line="240" w:lineRule="auto"/>
        <w:rPr>
          <w:rFonts w:ascii="Arial" w:eastAsia="Times New Roman" w:hAnsi="Arial" w:cs="Arial"/>
          <w:b/>
          <w:bCs/>
          <w:color w:val="000000"/>
          <w:sz w:val="20"/>
          <w:szCs w:val="20"/>
          <w:lang w:eastAsia="en-IN"/>
        </w:rPr>
      </w:pPr>
      <w:r w:rsidRPr="00AD3C6F">
        <w:rPr>
          <w:rFonts w:ascii="Arial" w:eastAsia="Times New Roman" w:hAnsi="Arial" w:cs="Arial"/>
          <w:b/>
          <w:bCs/>
          <w:color w:val="000000"/>
          <w:sz w:val="20"/>
          <w:szCs w:val="20"/>
          <w:lang w:eastAsia="en-IN"/>
        </w:rPr>
        <w:t>6.1 List of excipients</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Cellulose microcrystalline,</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Silica colloidal anhydrous,</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 xml:space="preserve">Sodium starch </w:t>
      </w:r>
      <w:proofErr w:type="spellStart"/>
      <w:r w:rsidRPr="00AD3C6F">
        <w:rPr>
          <w:rFonts w:ascii="Arial" w:eastAsia="Times New Roman" w:hAnsi="Arial" w:cs="Arial"/>
          <w:lang w:eastAsia="en-IN"/>
        </w:rPr>
        <w:t>glycolate</w:t>
      </w:r>
      <w:proofErr w:type="spellEnd"/>
      <w:r w:rsidRPr="00AD3C6F">
        <w:rPr>
          <w:rFonts w:ascii="Arial" w:eastAsia="Times New Roman" w:hAnsi="Arial" w:cs="Arial"/>
          <w:lang w:eastAsia="en-IN"/>
        </w:rPr>
        <w:t xml:space="preserve"> (Type A),</w:t>
      </w:r>
    </w:p>
    <w:p w:rsid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Magnesium stearate</w:t>
      </w:r>
    </w:p>
    <w:p w:rsidR="004043A3" w:rsidRDefault="004043A3" w:rsidP="00AD3C6F">
      <w:pPr>
        <w:spacing w:after="143" w:line="240" w:lineRule="auto"/>
        <w:rPr>
          <w:rFonts w:ascii="Arial" w:eastAsia="Times New Roman" w:hAnsi="Arial" w:cs="Arial"/>
          <w:lang w:eastAsia="en-IN"/>
        </w:rPr>
      </w:pPr>
      <w:r>
        <w:rPr>
          <w:rFonts w:ascii="Arial" w:eastAsia="Times New Roman" w:hAnsi="Arial" w:cs="Arial"/>
          <w:lang w:eastAsia="en-IN"/>
        </w:rPr>
        <w:t xml:space="preserve">Lactose </w:t>
      </w:r>
    </w:p>
    <w:p w:rsidR="004043A3" w:rsidRPr="00AD3C6F" w:rsidRDefault="004043A3" w:rsidP="00AD3C6F">
      <w:pPr>
        <w:spacing w:after="143" w:line="240" w:lineRule="auto"/>
        <w:rPr>
          <w:rFonts w:ascii="Arial" w:eastAsia="Times New Roman" w:hAnsi="Arial" w:cs="Arial"/>
          <w:lang w:eastAsia="en-IN"/>
        </w:rPr>
      </w:pPr>
      <w:r>
        <w:rPr>
          <w:rFonts w:ascii="Arial" w:eastAsia="Times New Roman" w:hAnsi="Arial" w:cs="Arial"/>
          <w:lang w:eastAsia="en-IN"/>
        </w:rPr>
        <w:t xml:space="preserve">Maize starch </w:t>
      </w:r>
    </w:p>
    <w:p w:rsidR="00AD3C6F" w:rsidRPr="00AD3C6F" w:rsidRDefault="00AD3C6F" w:rsidP="00AD3C6F">
      <w:pPr>
        <w:spacing w:after="0" w:line="240" w:lineRule="auto"/>
        <w:rPr>
          <w:rFonts w:ascii="Arial" w:eastAsia="Times New Roman" w:hAnsi="Arial" w:cs="Arial"/>
          <w:b/>
          <w:bCs/>
          <w:color w:val="000000"/>
          <w:sz w:val="20"/>
          <w:szCs w:val="20"/>
          <w:lang w:eastAsia="en-IN"/>
        </w:rPr>
      </w:pPr>
      <w:r w:rsidRPr="00AD3C6F">
        <w:rPr>
          <w:rFonts w:ascii="Arial" w:eastAsia="Times New Roman" w:hAnsi="Arial" w:cs="Arial"/>
          <w:b/>
          <w:bCs/>
          <w:color w:val="000000"/>
          <w:sz w:val="20"/>
          <w:szCs w:val="20"/>
          <w:lang w:eastAsia="en-IN"/>
        </w:rPr>
        <w:t>6.2 Incompatibilities</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Not applicable.</w:t>
      </w:r>
    </w:p>
    <w:p w:rsidR="00AD3C6F" w:rsidRPr="00AD3C6F" w:rsidRDefault="00AD3C6F" w:rsidP="00AD3C6F">
      <w:pPr>
        <w:spacing w:after="0" w:line="240" w:lineRule="auto"/>
        <w:rPr>
          <w:rFonts w:ascii="Arial" w:eastAsia="Times New Roman" w:hAnsi="Arial" w:cs="Arial"/>
          <w:b/>
          <w:bCs/>
          <w:color w:val="000000"/>
          <w:sz w:val="20"/>
          <w:szCs w:val="20"/>
          <w:lang w:eastAsia="en-IN"/>
        </w:rPr>
      </w:pPr>
      <w:r w:rsidRPr="00AD3C6F">
        <w:rPr>
          <w:rFonts w:ascii="Arial" w:eastAsia="Times New Roman" w:hAnsi="Arial" w:cs="Arial"/>
          <w:b/>
          <w:bCs/>
          <w:color w:val="000000"/>
          <w:sz w:val="20"/>
          <w:szCs w:val="20"/>
          <w:lang w:eastAsia="en-IN"/>
        </w:rPr>
        <w:t>6.3 Shelf life</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3 years</w:t>
      </w:r>
    </w:p>
    <w:p w:rsidR="00AD3C6F" w:rsidRPr="00AD3C6F" w:rsidRDefault="00AD3C6F" w:rsidP="00AD3C6F">
      <w:pPr>
        <w:spacing w:after="0" w:line="240" w:lineRule="auto"/>
        <w:rPr>
          <w:rFonts w:ascii="Arial" w:eastAsia="Times New Roman" w:hAnsi="Arial" w:cs="Arial"/>
          <w:b/>
          <w:bCs/>
          <w:color w:val="000000"/>
          <w:sz w:val="20"/>
          <w:szCs w:val="20"/>
          <w:lang w:eastAsia="en-IN"/>
        </w:rPr>
      </w:pPr>
      <w:r w:rsidRPr="00AD3C6F">
        <w:rPr>
          <w:rFonts w:ascii="Arial" w:eastAsia="Times New Roman" w:hAnsi="Arial" w:cs="Arial"/>
          <w:b/>
          <w:bCs/>
          <w:color w:val="000000"/>
          <w:sz w:val="20"/>
          <w:szCs w:val="20"/>
          <w:lang w:eastAsia="en-IN"/>
        </w:rPr>
        <w:t>6.4 Special precautions for storage</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Do not store above 25°C.</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Keep in the original carton to protect from light.</w:t>
      </w:r>
    </w:p>
    <w:p w:rsidR="00AD3C6F" w:rsidRPr="00AD3C6F" w:rsidRDefault="00AD3C6F" w:rsidP="00AD3C6F">
      <w:pPr>
        <w:spacing w:after="0" w:line="240" w:lineRule="auto"/>
        <w:rPr>
          <w:rFonts w:ascii="Arial" w:eastAsia="Times New Roman" w:hAnsi="Arial" w:cs="Arial"/>
          <w:b/>
          <w:bCs/>
          <w:color w:val="000000"/>
          <w:sz w:val="20"/>
          <w:szCs w:val="20"/>
          <w:lang w:eastAsia="en-IN"/>
        </w:rPr>
      </w:pPr>
      <w:r w:rsidRPr="00AD3C6F">
        <w:rPr>
          <w:rFonts w:ascii="Arial" w:eastAsia="Times New Roman" w:hAnsi="Arial" w:cs="Arial"/>
          <w:b/>
          <w:bCs/>
          <w:color w:val="000000"/>
          <w:sz w:val="20"/>
          <w:szCs w:val="20"/>
          <w:lang w:eastAsia="en-IN"/>
        </w:rPr>
        <w:t>6.5 Nature and contents of container</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Amlodipine 5 mg tablets are available as:</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Calendar packs of 28 tablets, Aluminium/PVC/</w:t>
      </w:r>
      <w:proofErr w:type="spellStart"/>
      <w:r w:rsidRPr="00AD3C6F">
        <w:rPr>
          <w:rFonts w:ascii="Arial" w:eastAsia="Times New Roman" w:hAnsi="Arial" w:cs="Arial"/>
          <w:lang w:eastAsia="en-IN"/>
        </w:rPr>
        <w:t>PVdC</w:t>
      </w:r>
      <w:proofErr w:type="spellEnd"/>
      <w:r w:rsidRPr="00AD3C6F">
        <w:rPr>
          <w:rFonts w:ascii="Arial" w:eastAsia="Times New Roman" w:hAnsi="Arial" w:cs="Arial"/>
          <w:lang w:eastAsia="en-IN"/>
        </w:rPr>
        <w:t xml:space="preserve"> blister strips, 14 tablets/strip, </w:t>
      </w:r>
      <w:proofErr w:type="gramStart"/>
      <w:r w:rsidRPr="00AD3C6F">
        <w:rPr>
          <w:rFonts w:ascii="Arial" w:eastAsia="Times New Roman" w:hAnsi="Arial" w:cs="Arial"/>
          <w:lang w:eastAsia="en-IN"/>
        </w:rPr>
        <w:t>2</w:t>
      </w:r>
      <w:proofErr w:type="gramEnd"/>
      <w:r w:rsidRPr="00AD3C6F">
        <w:rPr>
          <w:rFonts w:ascii="Arial" w:eastAsia="Times New Roman" w:hAnsi="Arial" w:cs="Arial"/>
          <w:lang w:eastAsia="en-IN"/>
        </w:rPr>
        <w:t xml:space="preserve"> strips in a carton box.</w:t>
      </w:r>
    </w:p>
    <w:p w:rsidR="00AD3C6F" w:rsidRPr="00AD3C6F" w:rsidRDefault="00AD3C6F" w:rsidP="00AD3C6F">
      <w:pPr>
        <w:spacing w:after="0" w:line="240" w:lineRule="auto"/>
        <w:rPr>
          <w:rFonts w:ascii="Arial" w:eastAsia="Times New Roman" w:hAnsi="Arial" w:cs="Arial"/>
          <w:b/>
          <w:bCs/>
          <w:color w:val="000000"/>
          <w:sz w:val="20"/>
          <w:szCs w:val="20"/>
          <w:lang w:eastAsia="en-IN"/>
        </w:rPr>
      </w:pPr>
      <w:r w:rsidRPr="00AD3C6F">
        <w:rPr>
          <w:rFonts w:ascii="Arial" w:eastAsia="Times New Roman" w:hAnsi="Arial" w:cs="Arial"/>
          <w:b/>
          <w:bCs/>
          <w:color w:val="000000"/>
          <w:sz w:val="20"/>
          <w:szCs w:val="20"/>
          <w:lang w:eastAsia="en-IN"/>
        </w:rPr>
        <w:lastRenderedPageBreak/>
        <w:t>6.6 Special precautions for disposal and other handling</w:t>
      </w:r>
    </w:p>
    <w:p w:rsidR="00AD3C6F" w:rsidRPr="00AD3C6F" w:rsidRDefault="00AD3C6F" w:rsidP="00AD3C6F">
      <w:pPr>
        <w:spacing w:after="143" w:line="240" w:lineRule="auto"/>
        <w:rPr>
          <w:rFonts w:ascii="Arial" w:eastAsia="Times New Roman" w:hAnsi="Arial" w:cs="Arial"/>
          <w:lang w:eastAsia="en-IN"/>
        </w:rPr>
      </w:pPr>
      <w:r w:rsidRPr="00AD3C6F">
        <w:rPr>
          <w:rFonts w:ascii="Arial" w:eastAsia="Times New Roman" w:hAnsi="Arial" w:cs="Arial"/>
          <w:lang w:eastAsia="en-IN"/>
        </w:rPr>
        <w:t>Any unused product or waste material should be disposed of in accordance with local requirements.</w:t>
      </w:r>
    </w:p>
    <w:p w:rsidR="003F5DC3" w:rsidRDefault="003F5DC3">
      <w:pPr>
        <w:rPr>
          <w:rFonts w:ascii="Arial" w:eastAsia="Times New Roman" w:hAnsi="Arial" w:cs="Arial"/>
          <w:b/>
          <w:bCs/>
          <w:color w:val="397360"/>
          <w:sz w:val="26"/>
          <w:szCs w:val="26"/>
          <w:lang w:eastAsia="en-IN"/>
        </w:rPr>
      </w:pPr>
    </w:p>
    <w:p w:rsidR="004043A3" w:rsidRDefault="004043A3">
      <w:pPr>
        <w:rPr>
          <w:rFonts w:ascii="Arial" w:eastAsia="Times New Roman" w:hAnsi="Arial" w:cs="Arial"/>
          <w:b/>
          <w:bCs/>
          <w:color w:val="397360"/>
          <w:sz w:val="26"/>
          <w:szCs w:val="26"/>
          <w:lang w:eastAsia="en-IN"/>
        </w:rPr>
      </w:pPr>
      <w:r>
        <w:rPr>
          <w:rFonts w:ascii="Arial" w:eastAsia="Times New Roman" w:hAnsi="Arial" w:cs="Arial"/>
          <w:b/>
          <w:bCs/>
          <w:color w:val="397360"/>
          <w:sz w:val="26"/>
          <w:szCs w:val="26"/>
          <w:lang w:eastAsia="en-IN"/>
        </w:rPr>
        <w:t xml:space="preserve">SOLE </w:t>
      </w:r>
      <w:proofErr w:type="gramStart"/>
      <w:r>
        <w:rPr>
          <w:rFonts w:ascii="Arial" w:eastAsia="Times New Roman" w:hAnsi="Arial" w:cs="Arial"/>
          <w:b/>
          <w:bCs/>
          <w:color w:val="397360"/>
          <w:sz w:val="26"/>
          <w:szCs w:val="26"/>
          <w:lang w:eastAsia="en-IN"/>
        </w:rPr>
        <w:t>AGENT :</w:t>
      </w:r>
      <w:proofErr w:type="gramEnd"/>
      <w:r>
        <w:rPr>
          <w:rFonts w:ascii="Arial" w:eastAsia="Times New Roman" w:hAnsi="Arial" w:cs="Arial"/>
          <w:b/>
          <w:bCs/>
          <w:color w:val="397360"/>
          <w:sz w:val="26"/>
          <w:szCs w:val="26"/>
          <w:lang w:eastAsia="en-IN"/>
        </w:rPr>
        <w:t xml:space="preserve"> NCI PHARMACHEM LTD.</w:t>
      </w:r>
    </w:p>
    <w:p w:rsidR="004043A3" w:rsidRDefault="004043A3">
      <w:pPr>
        <w:rPr>
          <w:rFonts w:ascii="Arial" w:eastAsia="Times New Roman" w:hAnsi="Arial" w:cs="Arial"/>
          <w:b/>
          <w:bCs/>
          <w:color w:val="397360"/>
          <w:sz w:val="26"/>
          <w:szCs w:val="26"/>
          <w:lang w:eastAsia="en-IN"/>
        </w:rPr>
      </w:pPr>
      <w:r>
        <w:rPr>
          <w:rFonts w:ascii="Arial" w:eastAsia="Times New Roman" w:hAnsi="Arial" w:cs="Arial"/>
          <w:b/>
          <w:bCs/>
          <w:color w:val="397360"/>
          <w:sz w:val="26"/>
          <w:szCs w:val="26"/>
          <w:lang w:eastAsia="en-IN"/>
        </w:rPr>
        <w:t xml:space="preserve">                            LAGOES NIGERIA </w:t>
      </w:r>
    </w:p>
    <w:p w:rsidR="004043A3" w:rsidRDefault="004043A3">
      <w:pPr>
        <w:rPr>
          <w:rFonts w:ascii="Arial" w:eastAsia="Times New Roman" w:hAnsi="Arial" w:cs="Arial"/>
          <w:b/>
          <w:bCs/>
          <w:color w:val="397360"/>
          <w:sz w:val="26"/>
          <w:szCs w:val="26"/>
          <w:lang w:eastAsia="en-IN"/>
        </w:rPr>
      </w:pPr>
      <w:r>
        <w:rPr>
          <w:rFonts w:ascii="Arial" w:eastAsia="Times New Roman" w:hAnsi="Arial" w:cs="Arial"/>
          <w:b/>
          <w:bCs/>
          <w:color w:val="397360"/>
          <w:sz w:val="26"/>
          <w:szCs w:val="26"/>
          <w:lang w:eastAsia="en-IN"/>
        </w:rPr>
        <w:t xml:space="preserve">NAFDAC REG. NO. : </w:t>
      </w:r>
    </w:p>
    <w:p w:rsidR="004043A3" w:rsidRDefault="004043A3">
      <w:bookmarkStart w:id="0" w:name="_GoBack"/>
      <w:bookmarkEnd w:id="0"/>
    </w:p>
    <w:sectPr w:rsidR="00404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028D"/>
    <w:multiLevelType w:val="multilevel"/>
    <w:tmpl w:val="F198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4314C"/>
    <w:multiLevelType w:val="multilevel"/>
    <w:tmpl w:val="B9F6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E1A8A"/>
    <w:multiLevelType w:val="multilevel"/>
    <w:tmpl w:val="BF0E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BB55F0"/>
    <w:multiLevelType w:val="multilevel"/>
    <w:tmpl w:val="3250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A75C88"/>
    <w:multiLevelType w:val="multilevel"/>
    <w:tmpl w:val="394A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2E"/>
    <w:rsid w:val="003F5DC3"/>
    <w:rsid w:val="004043A3"/>
    <w:rsid w:val="0045742E"/>
    <w:rsid w:val="00AD3C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8493A-B9D2-4A4F-9085-2168F778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731623">
      <w:bodyDiv w:val="1"/>
      <w:marLeft w:val="0"/>
      <w:marRight w:val="0"/>
      <w:marTop w:val="0"/>
      <w:marBottom w:val="0"/>
      <w:divBdr>
        <w:top w:val="none" w:sz="0" w:space="0" w:color="auto"/>
        <w:left w:val="none" w:sz="0" w:space="0" w:color="auto"/>
        <w:bottom w:val="none" w:sz="0" w:space="0" w:color="auto"/>
        <w:right w:val="none" w:sz="0" w:space="0" w:color="auto"/>
      </w:divBdr>
      <w:divsChild>
        <w:div w:id="1018505359">
          <w:marLeft w:val="0"/>
          <w:marRight w:val="0"/>
          <w:marTop w:val="0"/>
          <w:marBottom w:val="300"/>
          <w:divBdr>
            <w:top w:val="none" w:sz="0" w:space="0" w:color="auto"/>
            <w:left w:val="none" w:sz="0" w:space="0" w:color="auto"/>
            <w:bottom w:val="none" w:sz="0" w:space="0" w:color="auto"/>
            <w:right w:val="none" w:sz="0" w:space="0" w:color="auto"/>
          </w:divBdr>
          <w:divsChild>
            <w:div w:id="1736321432">
              <w:marLeft w:val="-225"/>
              <w:marRight w:val="-225"/>
              <w:marTop w:val="0"/>
              <w:marBottom w:val="0"/>
              <w:divBdr>
                <w:top w:val="none" w:sz="0" w:space="0" w:color="auto"/>
                <w:left w:val="none" w:sz="0" w:space="0" w:color="auto"/>
                <w:bottom w:val="none" w:sz="0" w:space="0" w:color="auto"/>
                <w:right w:val="none" w:sz="0" w:space="0" w:color="auto"/>
              </w:divBdr>
              <w:divsChild>
                <w:div w:id="532157487">
                  <w:marLeft w:val="0"/>
                  <w:marRight w:val="0"/>
                  <w:marTop w:val="0"/>
                  <w:marBottom w:val="0"/>
                  <w:divBdr>
                    <w:top w:val="none" w:sz="0" w:space="0" w:color="auto"/>
                    <w:left w:val="none" w:sz="0" w:space="0" w:color="auto"/>
                    <w:bottom w:val="none" w:sz="0" w:space="0" w:color="auto"/>
                    <w:right w:val="none" w:sz="0" w:space="0" w:color="auto"/>
                  </w:divBdr>
                  <w:divsChild>
                    <w:div w:id="1583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75947">
          <w:marLeft w:val="0"/>
          <w:marRight w:val="0"/>
          <w:marTop w:val="0"/>
          <w:marBottom w:val="0"/>
          <w:divBdr>
            <w:top w:val="none" w:sz="0" w:space="0" w:color="auto"/>
            <w:left w:val="none" w:sz="0" w:space="0" w:color="auto"/>
            <w:bottom w:val="none" w:sz="0" w:space="0" w:color="auto"/>
            <w:right w:val="none" w:sz="0" w:space="0" w:color="auto"/>
          </w:divBdr>
          <w:divsChild>
            <w:div w:id="280695009">
              <w:marLeft w:val="-225"/>
              <w:marRight w:val="-225"/>
              <w:marTop w:val="0"/>
              <w:marBottom w:val="0"/>
              <w:divBdr>
                <w:top w:val="none" w:sz="0" w:space="0" w:color="auto"/>
                <w:left w:val="none" w:sz="0" w:space="0" w:color="auto"/>
                <w:bottom w:val="none" w:sz="0" w:space="0" w:color="auto"/>
                <w:right w:val="none" w:sz="0" w:space="0" w:color="auto"/>
              </w:divBdr>
              <w:divsChild>
                <w:div w:id="1461417298">
                  <w:marLeft w:val="0"/>
                  <w:marRight w:val="0"/>
                  <w:marTop w:val="0"/>
                  <w:marBottom w:val="0"/>
                  <w:divBdr>
                    <w:top w:val="none" w:sz="0" w:space="0" w:color="auto"/>
                    <w:left w:val="none" w:sz="0" w:space="0" w:color="auto"/>
                    <w:bottom w:val="none" w:sz="0" w:space="0" w:color="auto"/>
                    <w:right w:val="none" w:sz="0" w:space="0" w:color="auto"/>
                  </w:divBdr>
                  <w:divsChild>
                    <w:div w:id="1265767416">
                      <w:marLeft w:val="-225"/>
                      <w:marRight w:val="-225"/>
                      <w:marTop w:val="0"/>
                      <w:marBottom w:val="0"/>
                      <w:divBdr>
                        <w:top w:val="none" w:sz="0" w:space="0" w:color="auto"/>
                        <w:left w:val="none" w:sz="0" w:space="0" w:color="auto"/>
                        <w:bottom w:val="none" w:sz="0" w:space="0" w:color="auto"/>
                        <w:right w:val="none" w:sz="0" w:space="0" w:color="auto"/>
                      </w:divBdr>
                      <w:divsChild>
                        <w:div w:id="82848479">
                          <w:marLeft w:val="0"/>
                          <w:marRight w:val="0"/>
                          <w:marTop w:val="0"/>
                          <w:marBottom w:val="0"/>
                          <w:divBdr>
                            <w:top w:val="none" w:sz="0" w:space="0" w:color="auto"/>
                            <w:left w:val="none" w:sz="0" w:space="0" w:color="auto"/>
                            <w:bottom w:val="none" w:sz="0" w:space="0" w:color="auto"/>
                            <w:right w:val="none" w:sz="0" w:space="0" w:color="auto"/>
                          </w:divBdr>
                        </w:div>
                      </w:divsChild>
                    </w:div>
                    <w:div w:id="2143814048">
                      <w:marLeft w:val="-225"/>
                      <w:marRight w:val="-225"/>
                      <w:marTop w:val="225"/>
                      <w:marBottom w:val="225"/>
                      <w:divBdr>
                        <w:top w:val="none" w:sz="0" w:space="0" w:color="auto"/>
                        <w:left w:val="none" w:sz="0" w:space="0" w:color="auto"/>
                        <w:bottom w:val="none" w:sz="0" w:space="0" w:color="auto"/>
                        <w:right w:val="none" w:sz="0" w:space="0" w:color="auto"/>
                      </w:divBdr>
                      <w:divsChild>
                        <w:div w:id="360322303">
                          <w:marLeft w:val="0"/>
                          <w:marRight w:val="0"/>
                          <w:marTop w:val="0"/>
                          <w:marBottom w:val="0"/>
                          <w:divBdr>
                            <w:top w:val="none" w:sz="0" w:space="0" w:color="auto"/>
                            <w:left w:val="none" w:sz="0" w:space="0" w:color="auto"/>
                            <w:bottom w:val="none" w:sz="0" w:space="0" w:color="auto"/>
                            <w:right w:val="none" w:sz="0" w:space="0" w:color="auto"/>
                          </w:divBdr>
                        </w:div>
                        <w:div w:id="2327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7461">
                  <w:marLeft w:val="0"/>
                  <w:marRight w:val="0"/>
                  <w:marTop w:val="0"/>
                  <w:marBottom w:val="0"/>
                  <w:divBdr>
                    <w:top w:val="none" w:sz="0" w:space="0" w:color="auto"/>
                    <w:left w:val="none" w:sz="0" w:space="0" w:color="auto"/>
                    <w:bottom w:val="none" w:sz="0" w:space="0" w:color="auto"/>
                    <w:right w:val="none" w:sz="0" w:space="0" w:color="auto"/>
                  </w:divBdr>
                  <w:divsChild>
                    <w:div w:id="1115367111">
                      <w:marLeft w:val="0"/>
                      <w:marRight w:val="0"/>
                      <w:marTop w:val="0"/>
                      <w:marBottom w:val="300"/>
                      <w:divBdr>
                        <w:top w:val="single" w:sz="6" w:space="8" w:color="DDDDDD"/>
                        <w:left w:val="single" w:sz="6" w:space="8" w:color="DDDDDD"/>
                        <w:bottom w:val="single" w:sz="6" w:space="8" w:color="DDDDDD"/>
                        <w:right w:val="single" w:sz="6" w:space="8" w:color="DDDDDD"/>
                      </w:divBdr>
                    </w:div>
                  </w:divsChild>
                </w:div>
              </w:divsChild>
            </w:div>
            <w:div w:id="1207910886">
              <w:marLeft w:val="-225"/>
              <w:marRight w:val="-225"/>
              <w:marTop w:val="0"/>
              <w:marBottom w:val="0"/>
              <w:divBdr>
                <w:top w:val="none" w:sz="0" w:space="0" w:color="auto"/>
                <w:left w:val="none" w:sz="0" w:space="0" w:color="auto"/>
                <w:bottom w:val="none" w:sz="0" w:space="0" w:color="auto"/>
                <w:right w:val="none" w:sz="0" w:space="0" w:color="auto"/>
              </w:divBdr>
              <w:divsChild>
                <w:div w:id="510023027">
                  <w:marLeft w:val="0"/>
                  <w:marRight w:val="0"/>
                  <w:marTop w:val="0"/>
                  <w:marBottom w:val="0"/>
                  <w:divBdr>
                    <w:top w:val="none" w:sz="0" w:space="0" w:color="auto"/>
                    <w:left w:val="none" w:sz="0" w:space="0" w:color="auto"/>
                    <w:bottom w:val="none" w:sz="0" w:space="0" w:color="auto"/>
                    <w:right w:val="none" w:sz="0" w:space="0" w:color="auto"/>
                  </w:divBdr>
                </w:div>
              </w:divsChild>
            </w:div>
            <w:div w:id="1185510422">
              <w:marLeft w:val="-225"/>
              <w:marRight w:val="-225"/>
              <w:marTop w:val="0"/>
              <w:marBottom w:val="0"/>
              <w:divBdr>
                <w:top w:val="none" w:sz="0" w:space="0" w:color="auto"/>
                <w:left w:val="none" w:sz="0" w:space="0" w:color="auto"/>
                <w:bottom w:val="none" w:sz="0" w:space="0" w:color="auto"/>
                <w:right w:val="none" w:sz="0" w:space="0" w:color="auto"/>
              </w:divBdr>
              <w:divsChild>
                <w:div w:id="574826761">
                  <w:marLeft w:val="0"/>
                  <w:marRight w:val="0"/>
                  <w:marTop w:val="0"/>
                  <w:marBottom w:val="0"/>
                  <w:divBdr>
                    <w:top w:val="none" w:sz="0" w:space="0" w:color="auto"/>
                    <w:left w:val="none" w:sz="0" w:space="0" w:color="auto"/>
                    <w:bottom w:val="none" w:sz="0" w:space="0" w:color="auto"/>
                    <w:right w:val="none" w:sz="0" w:space="0" w:color="auto"/>
                  </w:divBdr>
                  <w:divsChild>
                    <w:div w:id="941915455">
                      <w:marLeft w:val="0"/>
                      <w:marRight w:val="0"/>
                      <w:marTop w:val="0"/>
                      <w:marBottom w:val="150"/>
                      <w:divBdr>
                        <w:top w:val="none" w:sz="0" w:space="0" w:color="auto"/>
                        <w:left w:val="none" w:sz="0" w:space="0" w:color="auto"/>
                        <w:bottom w:val="none" w:sz="0" w:space="0" w:color="auto"/>
                        <w:right w:val="none" w:sz="0" w:space="0" w:color="auto"/>
                      </w:divBdr>
                      <w:divsChild>
                        <w:div w:id="391929350">
                          <w:marLeft w:val="0"/>
                          <w:marRight w:val="0"/>
                          <w:marTop w:val="0"/>
                          <w:marBottom w:val="0"/>
                          <w:divBdr>
                            <w:top w:val="none" w:sz="0" w:space="0" w:color="auto"/>
                            <w:left w:val="none" w:sz="0" w:space="0" w:color="auto"/>
                            <w:bottom w:val="none" w:sz="0" w:space="0" w:color="auto"/>
                            <w:right w:val="none" w:sz="0" w:space="0" w:color="auto"/>
                          </w:divBdr>
                          <w:divsChild>
                            <w:div w:id="651061810">
                              <w:marLeft w:val="0"/>
                              <w:marRight w:val="0"/>
                              <w:marTop w:val="0"/>
                              <w:marBottom w:val="0"/>
                              <w:divBdr>
                                <w:top w:val="none" w:sz="0" w:space="0" w:color="auto"/>
                                <w:left w:val="none" w:sz="0" w:space="0" w:color="auto"/>
                                <w:bottom w:val="none" w:sz="0" w:space="0" w:color="auto"/>
                                <w:right w:val="none" w:sz="0" w:space="0" w:color="auto"/>
                              </w:divBdr>
                              <w:divsChild>
                                <w:div w:id="1741367469">
                                  <w:marLeft w:val="0"/>
                                  <w:marRight w:val="0"/>
                                  <w:marTop w:val="0"/>
                                  <w:marBottom w:val="300"/>
                                  <w:divBdr>
                                    <w:top w:val="single" w:sz="6" w:space="8" w:color="DDDDDD"/>
                                    <w:left w:val="single" w:sz="6" w:space="8" w:color="DDDDDD"/>
                                    <w:bottom w:val="single" w:sz="6" w:space="8" w:color="DDDDDD"/>
                                    <w:right w:val="single" w:sz="6" w:space="8" w:color="DDDDDD"/>
                                  </w:divBdr>
                                </w:div>
                                <w:div w:id="2056077698">
                                  <w:marLeft w:val="0"/>
                                  <w:marRight w:val="0"/>
                                  <w:marTop w:val="0"/>
                                  <w:marBottom w:val="300"/>
                                  <w:divBdr>
                                    <w:top w:val="single" w:sz="6" w:space="8" w:color="1F803F"/>
                                    <w:left w:val="single" w:sz="6" w:space="8" w:color="1F803F"/>
                                    <w:bottom w:val="single" w:sz="6" w:space="8" w:color="1F803F"/>
                                    <w:right w:val="single" w:sz="6" w:space="8" w:color="1F803F"/>
                                  </w:divBdr>
                                </w:div>
                              </w:divsChild>
                            </w:div>
                            <w:div w:id="1900749240">
                              <w:marLeft w:val="0"/>
                              <w:marRight w:val="0"/>
                              <w:marTop w:val="0"/>
                              <w:marBottom w:val="0"/>
                              <w:divBdr>
                                <w:top w:val="none" w:sz="0" w:space="0" w:color="auto"/>
                                <w:left w:val="single" w:sz="6" w:space="8" w:color="1F803F"/>
                                <w:bottom w:val="single" w:sz="6" w:space="8" w:color="1F803F"/>
                                <w:right w:val="single" w:sz="6" w:space="8" w:color="1F803F"/>
                              </w:divBdr>
                              <w:divsChild>
                                <w:div w:id="890120698">
                                  <w:marLeft w:val="0"/>
                                  <w:marRight w:val="0"/>
                                  <w:marTop w:val="0"/>
                                  <w:marBottom w:val="0"/>
                                  <w:divBdr>
                                    <w:top w:val="none" w:sz="0" w:space="0" w:color="auto"/>
                                    <w:left w:val="none" w:sz="0" w:space="0" w:color="auto"/>
                                    <w:bottom w:val="none" w:sz="0" w:space="0" w:color="auto"/>
                                    <w:right w:val="none" w:sz="0" w:space="0" w:color="auto"/>
                                  </w:divBdr>
                                  <w:divsChild>
                                    <w:div w:id="567495370">
                                      <w:marLeft w:val="0"/>
                                      <w:marRight w:val="0"/>
                                      <w:marTop w:val="150"/>
                                      <w:marBottom w:val="150"/>
                                      <w:divBdr>
                                        <w:top w:val="single" w:sz="6" w:space="8" w:color="000000"/>
                                        <w:left w:val="none" w:sz="0" w:space="0" w:color="auto"/>
                                        <w:bottom w:val="none" w:sz="0" w:space="0" w:color="auto"/>
                                        <w:right w:val="none" w:sz="0" w:space="0" w:color="auto"/>
                                      </w:divBdr>
                                    </w:div>
                                    <w:div w:id="1162889071">
                                      <w:marLeft w:val="0"/>
                                      <w:marRight w:val="0"/>
                                      <w:marTop w:val="0"/>
                                      <w:marBottom w:val="0"/>
                                      <w:divBdr>
                                        <w:top w:val="none" w:sz="0" w:space="0" w:color="auto"/>
                                        <w:left w:val="none" w:sz="0" w:space="0" w:color="auto"/>
                                        <w:bottom w:val="none" w:sz="0" w:space="0" w:color="auto"/>
                                        <w:right w:val="none" w:sz="0" w:space="0" w:color="auto"/>
                                      </w:divBdr>
                                    </w:div>
                                    <w:div w:id="2088569995">
                                      <w:marLeft w:val="0"/>
                                      <w:marRight w:val="0"/>
                                      <w:marTop w:val="150"/>
                                      <w:marBottom w:val="150"/>
                                      <w:divBdr>
                                        <w:top w:val="single" w:sz="6" w:space="8" w:color="000000"/>
                                        <w:left w:val="none" w:sz="0" w:space="0" w:color="auto"/>
                                        <w:bottom w:val="none" w:sz="0" w:space="0" w:color="auto"/>
                                        <w:right w:val="none" w:sz="0" w:space="0" w:color="auto"/>
                                      </w:divBdr>
                                    </w:div>
                                    <w:div w:id="735471927">
                                      <w:marLeft w:val="0"/>
                                      <w:marRight w:val="0"/>
                                      <w:marTop w:val="0"/>
                                      <w:marBottom w:val="0"/>
                                      <w:divBdr>
                                        <w:top w:val="none" w:sz="0" w:space="0" w:color="auto"/>
                                        <w:left w:val="none" w:sz="0" w:space="0" w:color="auto"/>
                                        <w:bottom w:val="none" w:sz="0" w:space="0" w:color="auto"/>
                                        <w:right w:val="none" w:sz="0" w:space="0" w:color="auto"/>
                                      </w:divBdr>
                                    </w:div>
                                    <w:div w:id="2062360178">
                                      <w:marLeft w:val="0"/>
                                      <w:marRight w:val="0"/>
                                      <w:marTop w:val="150"/>
                                      <w:marBottom w:val="150"/>
                                      <w:divBdr>
                                        <w:top w:val="single" w:sz="6" w:space="8" w:color="000000"/>
                                        <w:left w:val="none" w:sz="0" w:space="0" w:color="auto"/>
                                        <w:bottom w:val="none" w:sz="0" w:space="0" w:color="auto"/>
                                        <w:right w:val="none" w:sz="0" w:space="0" w:color="auto"/>
                                      </w:divBdr>
                                    </w:div>
                                    <w:div w:id="49498094">
                                      <w:marLeft w:val="0"/>
                                      <w:marRight w:val="0"/>
                                      <w:marTop w:val="0"/>
                                      <w:marBottom w:val="0"/>
                                      <w:divBdr>
                                        <w:top w:val="none" w:sz="0" w:space="0" w:color="auto"/>
                                        <w:left w:val="none" w:sz="0" w:space="0" w:color="auto"/>
                                        <w:bottom w:val="none" w:sz="0" w:space="0" w:color="auto"/>
                                        <w:right w:val="none" w:sz="0" w:space="0" w:color="auto"/>
                                      </w:divBdr>
                                    </w:div>
                                    <w:div w:id="147328189">
                                      <w:marLeft w:val="0"/>
                                      <w:marRight w:val="0"/>
                                      <w:marTop w:val="150"/>
                                      <w:marBottom w:val="150"/>
                                      <w:divBdr>
                                        <w:top w:val="single" w:sz="6" w:space="8" w:color="000000"/>
                                        <w:left w:val="none" w:sz="0" w:space="0" w:color="auto"/>
                                        <w:bottom w:val="none" w:sz="0" w:space="0" w:color="auto"/>
                                        <w:right w:val="none" w:sz="0" w:space="0" w:color="auto"/>
                                      </w:divBdr>
                                    </w:div>
                                    <w:div w:id="1192377039">
                                      <w:marLeft w:val="0"/>
                                      <w:marRight w:val="0"/>
                                      <w:marTop w:val="0"/>
                                      <w:marBottom w:val="0"/>
                                      <w:divBdr>
                                        <w:top w:val="none" w:sz="0" w:space="0" w:color="auto"/>
                                        <w:left w:val="none" w:sz="0" w:space="0" w:color="auto"/>
                                        <w:bottom w:val="none" w:sz="0" w:space="0" w:color="auto"/>
                                        <w:right w:val="none" w:sz="0" w:space="0" w:color="auto"/>
                                      </w:divBdr>
                                    </w:div>
                                    <w:div w:id="824474347">
                                      <w:marLeft w:val="0"/>
                                      <w:marRight w:val="0"/>
                                      <w:marTop w:val="0"/>
                                      <w:marBottom w:val="0"/>
                                      <w:divBdr>
                                        <w:top w:val="none" w:sz="0" w:space="0" w:color="auto"/>
                                        <w:left w:val="none" w:sz="0" w:space="0" w:color="auto"/>
                                        <w:bottom w:val="none" w:sz="0" w:space="0" w:color="auto"/>
                                        <w:right w:val="none" w:sz="0" w:space="0" w:color="auto"/>
                                      </w:divBdr>
                                    </w:div>
                                    <w:div w:id="1003826371">
                                      <w:marLeft w:val="0"/>
                                      <w:marRight w:val="0"/>
                                      <w:marTop w:val="0"/>
                                      <w:marBottom w:val="0"/>
                                      <w:divBdr>
                                        <w:top w:val="none" w:sz="0" w:space="0" w:color="auto"/>
                                        <w:left w:val="none" w:sz="0" w:space="0" w:color="auto"/>
                                        <w:bottom w:val="none" w:sz="0" w:space="0" w:color="auto"/>
                                        <w:right w:val="none" w:sz="0" w:space="0" w:color="auto"/>
                                      </w:divBdr>
                                    </w:div>
                                    <w:div w:id="1249651292">
                                      <w:marLeft w:val="0"/>
                                      <w:marRight w:val="0"/>
                                      <w:marTop w:val="0"/>
                                      <w:marBottom w:val="0"/>
                                      <w:divBdr>
                                        <w:top w:val="none" w:sz="0" w:space="0" w:color="auto"/>
                                        <w:left w:val="none" w:sz="0" w:space="0" w:color="auto"/>
                                        <w:bottom w:val="none" w:sz="0" w:space="0" w:color="auto"/>
                                        <w:right w:val="none" w:sz="0" w:space="0" w:color="auto"/>
                                      </w:divBdr>
                                    </w:div>
                                    <w:div w:id="274678381">
                                      <w:marLeft w:val="0"/>
                                      <w:marRight w:val="0"/>
                                      <w:marTop w:val="0"/>
                                      <w:marBottom w:val="0"/>
                                      <w:divBdr>
                                        <w:top w:val="none" w:sz="0" w:space="0" w:color="auto"/>
                                        <w:left w:val="none" w:sz="0" w:space="0" w:color="auto"/>
                                        <w:bottom w:val="none" w:sz="0" w:space="0" w:color="auto"/>
                                        <w:right w:val="none" w:sz="0" w:space="0" w:color="auto"/>
                                      </w:divBdr>
                                    </w:div>
                                    <w:div w:id="1763986408">
                                      <w:marLeft w:val="0"/>
                                      <w:marRight w:val="0"/>
                                      <w:marTop w:val="0"/>
                                      <w:marBottom w:val="0"/>
                                      <w:divBdr>
                                        <w:top w:val="none" w:sz="0" w:space="0" w:color="auto"/>
                                        <w:left w:val="none" w:sz="0" w:space="0" w:color="auto"/>
                                        <w:bottom w:val="none" w:sz="0" w:space="0" w:color="auto"/>
                                        <w:right w:val="none" w:sz="0" w:space="0" w:color="auto"/>
                                      </w:divBdr>
                                    </w:div>
                                    <w:div w:id="333460761">
                                      <w:marLeft w:val="0"/>
                                      <w:marRight w:val="0"/>
                                      <w:marTop w:val="0"/>
                                      <w:marBottom w:val="0"/>
                                      <w:divBdr>
                                        <w:top w:val="none" w:sz="0" w:space="0" w:color="auto"/>
                                        <w:left w:val="none" w:sz="0" w:space="0" w:color="auto"/>
                                        <w:bottom w:val="none" w:sz="0" w:space="0" w:color="auto"/>
                                        <w:right w:val="none" w:sz="0" w:space="0" w:color="auto"/>
                                      </w:divBdr>
                                    </w:div>
                                    <w:div w:id="430979614">
                                      <w:marLeft w:val="0"/>
                                      <w:marRight w:val="0"/>
                                      <w:marTop w:val="0"/>
                                      <w:marBottom w:val="0"/>
                                      <w:divBdr>
                                        <w:top w:val="none" w:sz="0" w:space="0" w:color="auto"/>
                                        <w:left w:val="none" w:sz="0" w:space="0" w:color="auto"/>
                                        <w:bottom w:val="none" w:sz="0" w:space="0" w:color="auto"/>
                                        <w:right w:val="none" w:sz="0" w:space="0" w:color="auto"/>
                                      </w:divBdr>
                                    </w:div>
                                    <w:div w:id="390276153">
                                      <w:marLeft w:val="0"/>
                                      <w:marRight w:val="0"/>
                                      <w:marTop w:val="0"/>
                                      <w:marBottom w:val="0"/>
                                      <w:divBdr>
                                        <w:top w:val="none" w:sz="0" w:space="0" w:color="auto"/>
                                        <w:left w:val="none" w:sz="0" w:space="0" w:color="auto"/>
                                        <w:bottom w:val="none" w:sz="0" w:space="0" w:color="auto"/>
                                        <w:right w:val="none" w:sz="0" w:space="0" w:color="auto"/>
                                      </w:divBdr>
                                    </w:div>
                                    <w:div w:id="806162623">
                                      <w:marLeft w:val="0"/>
                                      <w:marRight w:val="0"/>
                                      <w:marTop w:val="0"/>
                                      <w:marBottom w:val="0"/>
                                      <w:divBdr>
                                        <w:top w:val="none" w:sz="0" w:space="0" w:color="auto"/>
                                        <w:left w:val="none" w:sz="0" w:space="0" w:color="auto"/>
                                        <w:bottom w:val="none" w:sz="0" w:space="0" w:color="auto"/>
                                        <w:right w:val="none" w:sz="0" w:space="0" w:color="auto"/>
                                      </w:divBdr>
                                    </w:div>
                                    <w:div w:id="1989624824">
                                      <w:marLeft w:val="0"/>
                                      <w:marRight w:val="0"/>
                                      <w:marTop w:val="0"/>
                                      <w:marBottom w:val="0"/>
                                      <w:divBdr>
                                        <w:top w:val="none" w:sz="0" w:space="0" w:color="auto"/>
                                        <w:left w:val="none" w:sz="0" w:space="0" w:color="auto"/>
                                        <w:bottom w:val="none" w:sz="0" w:space="0" w:color="auto"/>
                                        <w:right w:val="none" w:sz="0" w:space="0" w:color="auto"/>
                                      </w:divBdr>
                                    </w:div>
                                    <w:div w:id="393433287">
                                      <w:marLeft w:val="0"/>
                                      <w:marRight w:val="0"/>
                                      <w:marTop w:val="0"/>
                                      <w:marBottom w:val="0"/>
                                      <w:divBdr>
                                        <w:top w:val="none" w:sz="0" w:space="0" w:color="auto"/>
                                        <w:left w:val="none" w:sz="0" w:space="0" w:color="auto"/>
                                        <w:bottom w:val="none" w:sz="0" w:space="0" w:color="auto"/>
                                        <w:right w:val="none" w:sz="0" w:space="0" w:color="auto"/>
                                      </w:divBdr>
                                    </w:div>
                                    <w:div w:id="2017149044">
                                      <w:marLeft w:val="0"/>
                                      <w:marRight w:val="0"/>
                                      <w:marTop w:val="0"/>
                                      <w:marBottom w:val="0"/>
                                      <w:divBdr>
                                        <w:top w:val="none" w:sz="0" w:space="0" w:color="auto"/>
                                        <w:left w:val="none" w:sz="0" w:space="0" w:color="auto"/>
                                        <w:bottom w:val="none" w:sz="0" w:space="0" w:color="auto"/>
                                        <w:right w:val="none" w:sz="0" w:space="0" w:color="auto"/>
                                      </w:divBdr>
                                    </w:div>
                                    <w:div w:id="1195580874">
                                      <w:marLeft w:val="0"/>
                                      <w:marRight w:val="0"/>
                                      <w:marTop w:val="0"/>
                                      <w:marBottom w:val="0"/>
                                      <w:divBdr>
                                        <w:top w:val="none" w:sz="0" w:space="0" w:color="auto"/>
                                        <w:left w:val="none" w:sz="0" w:space="0" w:color="auto"/>
                                        <w:bottom w:val="none" w:sz="0" w:space="0" w:color="auto"/>
                                        <w:right w:val="none" w:sz="0" w:space="0" w:color="auto"/>
                                      </w:divBdr>
                                    </w:div>
                                    <w:div w:id="1417748604">
                                      <w:marLeft w:val="0"/>
                                      <w:marRight w:val="0"/>
                                      <w:marTop w:val="0"/>
                                      <w:marBottom w:val="0"/>
                                      <w:divBdr>
                                        <w:top w:val="none" w:sz="0" w:space="0" w:color="auto"/>
                                        <w:left w:val="none" w:sz="0" w:space="0" w:color="auto"/>
                                        <w:bottom w:val="none" w:sz="0" w:space="0" w:color="auto"/>
                                        <w:right w:val="none" w:sz="0" w:space="0" w:color="auto"/>
                                      </w:divBdr>
                                    </w:div>
                                    <w:div w:id="1384676509">
                                      <w:marLeft w:val="0"/>
                                      <w:marRight w:val="0"/>
                                      <w:marTop w:val="0"/>
                                      <w:marBottom w:val="0"/>
                                      <w:divBdr>
                                        <w:top w:val="none" w:sz="0" w:space="0" w:color="auto"/>
                                        <w:left w:val="none" w:sz="0" w:space="0" w:color="auto"/>
                                        <w:bottom w:val="none" w:sz="0" w:space="0" w:color="auto"/>
                                        <w:right w:val="none" w:sz="0" w:space="0" w:color="auto"/>
                                      </w:divBdr>
                                      <w:divsChild>
                                        <w:div w:id="1724255118">
                                          <w:marLeft w:val="0"/>
                                          <w:marRight w:val="0"/>
                                          <w:marTop w:val="0"/>
                                          <w:marBottom w:val="0"/>
                                          <w:divBdr>
                                            <w:top w:val="none" w:sz="0" w:space="0" w:color="auto"/>
                                            <w:left w:val="none" w:sz="0" w:space="0" w:color="auto"/>
                                            <w:bottom w:val="none" w:sz="0" w:space="0" w:color="auto"/>
                                            <w:right w:val="none" w:sz="0" w:space="0" w:color="auto"/>
                                          </w:divBdr>
                                        </w:div>
                                      </w:divsChild>
                                    </w:div>
                                    <w:div w:id="918097919">
                                      <w:marLeft w:val="0"/>
                                      <w:marRight w:val="0"/>
                                      <w:marTop w:val="0"/>
                                      <w:marBottom w:val="0"/>
                                      <w:divBdr>
                                        <w:top w:val="none" w:sz="0" w:space="0" w:color="auto"/>
                                        <w:left w:val="none" w:sz="0" w:space="0" w:color="auto"/>
                                        <w:bottom w:val="none" w:sz="0" w:space="0" w:color="auto"/>
                                        <w:right w:val="none" w:sz="0" w:space="0" w:color="auto"/>
                                      </w:divBdr>
                                    </w:div>
                                    <w:div w:id="814030954">
                                      <w:marLeft w:val="0"/>
                                      <w:marRight w:val="0"/>
                                      <w:marTop w:val="0"/>
                                      <w:marBottom w:val="0"/>
                                      <w:divBdr>
                                        <w:top w:val="none" w:sz="0" w:space="0" w:color="auto"/>
                                        <w:left w:val="none" w:sz="0" w:space="0" w:color="auto"/>
                                        <w:bottom w:val="none" w:sz="0" w:space="0" w:color="auto"/>
                                        <w:right w:val="none" w:sz="0" w:space="0" w:color="auto"/>
                                      </w:divBdr>
                                    </w:div>
                                    <w:div w:id="42212908">
                                      <w:marLeft w:val="0"/>
                                      <w:marRight w:val="0"/>
                                      <w:marTop w:val="150"/>
                                      <w:marBottom w:val="150"/>
                                      <w:divBdr>
                                        <w:top w:val="single" w:sz="6" w:space="8" w:color="000000"/>
                                        <w:left w:val="none" w:sz="0" w:space="0" w:color="auto"/>
                                        <w:bottom w:val="none" w:sz="0" w:space="0" w:color="auto"/>
                                        <w:right w:val="none" w:sz="0" w:space="0" w:color="auto"/>
                                      </w:divBdr>
                                    </w:div>
                                    <w:div w:id="98838089">
                                      <w:marLeft w:val="0"/>
                                      <w:marRight w:val="0"/>
                                      <w:marTop w:val="0"/>
                                      <w:marBottom w:val="0"/>
                                      <w:divBdr>
                                        <w:top w:val="none" w:sz="0" w:space="0" w:color="auto"/>
                                        <w:left w:val="none" w:sz="0" w:space="0" w:color="auto"/>
                                        <w:bottom w:val="none" w:sz="0" w:space="0" w:color="auto"/>
                                        <w:right w:val="none" w:sz="0" w:space="0" w:color="auto"/>
                                      </w:divBdr>
                                    </w:div>
                                    <w:div w:id="785546452">
                                      <w:marLeft w:val="0"/>
                                      <w:marRight w:val="0"/>
                                      <w:marTop w:val="0"/>
                                      <w:marBottom w:val="0"/>
                                      <w:divBdr>
                                        <w:top w:val="none" w:sz="0" w:space="0" w:color="auto"/>
                                        <w:left w:val="none" w:sz="0" w:space="0" w:color="auto"/>
                                        <w:bottom w:val="none" w:sz="0" w:space="0" w:color="auto"/>
                                        <w:right w:val="none" w:sz="0" w:space="0" w:color="auto"/>
                                      </w:divBdr>
                                      <w:divsChild>
                                        <w:div w:id="1704673552">
                                          <w:marLeft w:val="0"/>
                                          <w:marRight w:val="0"/>
                                          <w:marTop w:val="0"/>
                                          <w:marBottom w:val="0"/>
                                          <w:divBdr>
                                            <w:top w:val="none" w:sz="0" w:space="0" w:color="auto"/>
                                            <w:left w:val="none" w:sz="0" w:space="0" w:color="auto"/>
                                            <w:bottom w:val="none" w:sz="0" w:space="0" w:color="auto"/>
                                            <w:right w:val="none" w:sz="0" w:space="0" w:color="auto"/>
                                          </w:divBdr>
                                        </w:div>
                                      </w:divsChild>
                                    </w:div>
                                    <w:div w:id="1893885102">
                                      <w:marLeft w:val="0"/>
                                      <w:marRight w:val="0"/>
                                      <w:marTop w:val="0"/>
                                      <w:marBottom w:val="0"/>
                                      <w:divBdr>
                                        <w:top w:val="none" w:sz="0" w:space="0" w:color="auto"/>
                                        <w:left w:val="none" w:sz="0" w:space="0" w:color="auto"/>
                                        <w:bottom w:val="none" w:sz="0" w:space="0" w:color="auto"/>
                                        <w:right w:val="none" w:sz="0" w:space="0" w:color="auto"/>
                                      </w:divBdr>
                                    </w:div>
                                    <w:div w:id="2126191098">
                                      <w:marLeft w:val="0"/>
                                      <w:marRight w:val="0"/>
                                      <w:marTop w:val="0"/>
                                      <w:marBottom w:val="0"/>
                                      <w:divBdr>
                                        <w:top w:val="none" w:sz="0" w:space="0" w:color="auto"/>
                                        <w:left w:val="none" w:sz="0" w:space="0" w:color="auto"/>
                                        <w:bottom w:val="none" w:sz="0" w:space="0" w:color="auto"/>
                                        <w:right w:val="none" w:sz="0" w:space="0" w:color="auto"/>
                                      </w:divBdr>
                                    </w:div>
                                    <w:div w:id="728378257">
                                      <w:marLeft w:val="0"/>
                                      <w:marRight w:val="0"/>
                                      <w:marTop w:val="0"/>
                                      <w:marBottom w:val="0"/>
                                      <w:divBdr>
                                        <w:top w:val="none" w:sz="0" w:space="0" w:color="auto"/>
                                        <w:left w:val="none" w:sz="0" w:space="0" w:color="auto"/>
                                        <w:bottom w:val="none" w:sz="0" w:space="0" w:color="auto"/>
                                        <w:right w:val="none" w:sz="0" w:space="0" w:color="auto"/>
                                      </w:divBdr>
                                    </w:div>
                                    <w:div w:id="1704137363">
                                      <w:marLeft w:val="0"/>
                                      <w:marRight w:val="0"/>
                                      <w:marTop w:val="0"/>
                                      <w:marBottom w:val="0"/>
                                      <w:divBdr>
                                        <w:top w:val="none" w:sz="0" w:space="0" w:color="auto"/>
                                        <w:left w:val="none" w:sz="0" w:space="0" w:color="auto"/>
                                        <w:bottom w:val="none" w:sz="0" w:space="0" w:color="auto"/>
                                        <w:right w:val="none" w:sz="0" w:space="0" w:color="auto"/>
                                      </w:divBdr>
                                    </w:div>
                                    <w:div w:id="526220434">
                                      <w:marLeft w:val="0"/>
                                      <w:marRight w:val="0"/>
                                      <w:marTop w:val="150"/>
                                      <w:marBottom w:val="150"/>
                                      <w:divBdr>
                                        <w:top w:val="single" w:sz="6" w:space="8" w:color="000000"/>
                                        <w:left w:val="none" w:sz="0" w:space="0" w:color="auto"/>
                                        <w:bottom w:val="none" w:sz="0" w:space="0" w:color="auto"/>
                                        <w:right w:val="none" w:sz="0" w:space="0" w:color="auto"/>
                                      </w:divBdr>
                                    </w:div>
                                    <w:div w:id="663776787">
                                      <w:marLeft w:val="0"/>
                                      <w:marRight w:val="0"/>
                                      <w:marTop w:val="0"/>
                                      <w:marBottom w:val="0"/>
                                      <w:divBdr>
                                        <w:top w:val="none" w:sz="0" w:space="0" w:color="auto"/>
                                        <w:left w:val="none" w:sz="0" w:space="0" w:color="auto"/>
                                        <w:bottom w:val="none" w:sz="0" w:space="0" w:color="auto"/>
                                        <w:right w:val="none" w:sz="0" w:space="0" w:color="auto"/>
                                      </w:divBdr>
                                    </w:div>
                                    <w:div w:id="36861370">
                                      <w:marLeft w:val="0"/>
                                      <w:marRight w:val="0"/>
                                      <w:marTop w:val="0"/>
                                      <w:marBottom w:val="0"/>
                                      <w:divBdr>
                                        <w:top w:val="none" w:sz="0" w:space="0" w:color="auto"/>
                                        <w:left w:val="none" w:sz="0" w:space="0" w:color="auto"/>
                                        <w:bottom w:val="none" w:sz="0" w:space="0" w:color="auto"/>
                                        <w:right w:val="none" w:sz="0" w:space="0" w:color="auto"/>
                                      </w:divBdr>
                                    </w:div>
                                    <w:div w:id="510990340">
                                      <w:marLeft w:val="0"/>
                                      <w:marRight w:val="0"/>
                                      <w:marTop w:val="0"/>
                                      <w:marBottom w:val="0"/>
                                      <w:divBdr>
                                        <w:top w:val="none" w:sz="0" w:space="0" w:color="auto"/>
                                        <w:left w:val="none" w:sz="0" w:space="0" w:color="auto"/>
                                        <w:bottom w:val="none" w:sz="0" w:space="0" w:color="auto"/>
                                        <w:right w:val="none" w:sz="0" w:space="0" w:color="auto"/>
                                      </w:divBdr>
                                    </w:div>
                                    <w:div w:id="1660229751">
                                      <w:marLeft w:val="0"/>
                                      <w:marRight w:val="0"/>
                                      <w:marTop w:val="0"/>
                                      <w:marBottom w:val="0"/>
                                      <w:divBdr>
                                        <w:top w:val="none" w:sz="0" w:space="0" w:color="auto"/>
                                        <w:left w:val="none" w:sz="0" w:space="0" w:color="auto"/>
                                        <w:bottom w:val="none" w:sz="0" w:space="0" w:color="auto"/>
                                        <w:right w:val="none" w:sz="0" w:space="0" w:color="auto"/>
                                      </w:divBdr>
                                    </w:div>
                                    <w:div w:id="239753439">
                                      <w:marLeft w:val="0"/>
                                      <w:marRight w:val="0"/>
                                      <w:marTop w:val="0"/>
                                      <w:marBottom w:val="0"/>
                                      <w:divBdr>
                                        <w:top w:val="none" w:sz="0" w:space="0" w:color="auto"/>
                                        <w:left w:val="none" w:sz="0" w:space="0" w:color="auto"/>
                                        <w:bottom w:val="none" w:sz="0" w:space="0" w:color="auto"/>
                                        <w:right w:val="none" w:sz="0" w:space="0" w:color="auto"/>
                                      </w:divBdr>
                                    </w:div>
                                    <w:div w:id="1953201381">
                                      <w:marLeft w:val="0"/>
                                      <w:marRight w:val="0"/>
                                      <w:marTop w:val="0"/>
                                      <w:marBottom w:val="0"/>
                                      <w:divBdr>
                                        <w:top w:val="none" w:sz="0" w:space="0" w:color="auto"/>
                                        <w:left w:val="none" w:sz="0" w:space="0" w:color="auto"/>
                                        <w:bottom w:val="none" w:sz="0" w:space="0" w:color="auto"/>
                                        <w:right w:val="none" w:sz="0" w:space="0" w:color="auto"/>
                                      </w:divBdr>
                                    </w:div>
                                    <w:div w:id="247616004">
                                      <w:marLeft w:val="0"/>
                                      <w:marRight w:val="0"/>
                                      <w:marTop w:val="0"/>
                                      <w:marBottom w:val="0"/>
                                      <w:divBdr>
                                        <w:top w:val="none" w:sz="0" w:space="0" w:color="auto"/>
                                        <w:left w:val="none" w:sz="0" w:space="0" w:color="auto"/>
                                        <w:bottom w:val="none" w:sz="0" w:space="0" w:color="auto"/>
                                        <w:right w:val="none" w:sz="0" w:space="0" w:color="auto"/>
                                      </w:divBdr>
                                    </w:div>
                                    <w:div w:id="2009283815">
                                      <w:marLeft w:val="0"/>
                                      <w:marRight w:val="0"/>
                                      <w:marTop w:val="0"/>
                                      <w:marBottom w:val="0"/>
                                      <w:divBdr>
                                        <w:top w:val="none" w:sz="0" w:space="0" w:color="auto"/>
                                        <w:left w:val="none" w:sz="0" w:space="0" w:color="auto"/>
                                        <w:bottom w:val="none" w:sz="0" w:space="0" w:color="auto"/>
                                        <w:right w:val="none" w:sz="0" w:space="0" w:color="auto"/>
                                      </w:divBdr>
                                    </w:div>
                                    <w:div w:id="235016022">
                                      <w:marLeft w:val="0"/>
                                      <w:marRight w:val="0"/>
                                      <w:marTop w:val="0"/>
                                      <w:marBottom w:val="0"/>
                                      <w:divBdr>
                                        <w:top w:val="none" w:sz="0" w:space="0" w:color="auto"/>
                                        <w:left w:val="none" w:sz="0" w:space="0" w:color="auto"/>
                                        <w:bottom w:val="none" w:sz="0" w:space="0" w:color="auto"/>
                                        <w:right w:val="none" w:sz="0" w:space="0" w:color="auto"/>
                                      </w:divBdr>
                                    </w:div>
                                    <w:div w:id="1334256214">
                                      <w:marLeft w:val="0"/>
                                      <w:marRight w:val="0"/>
                                      <w:marTop w:val="0"/>
                                      <w:marBottom w:val="0"/>
                                      <w:divBdr>
                                        <w:top w:val="none" w:sz="0" w:space="0" w:color="auto"/>
                                        <w:left w:val="none" w:sz="0" w:space="0" w:color="auto"/>
                                        <w:bottom w:val="none" w:sz="0" w:space="0" w:color="auto"/>
                                        <w:right w:val="none" w:sz="0" w:space="0" w:color="auto"/>
                                      </w:divBdr>
                                    </w:div>
                                    <w:div w:id="1468889444">
                                      <w:marLeft w:val="0"/>
                                      <w:marRight w:val="0"/>
                                      <w:marTop w:val="0"/>
                                      <w:marBottom w:val="0"/>
                                      <w:divBdr>
                                        <w:top w:val="none" w:sz="0" w:space="0" w:color="auto"/>
                                        <w:left w:val="none" w:sz="0" w:space="0" w:color="auto"/>
                                        <w:bottom w:val="none" w:sz="0" w:space="0" w:color="auto"/>
                                        <w:right w:val="none" w:sz="0" w:space="0" w:color="auto"/>
                                      </w:divBdr>
                                    </w:div>
                                    <w:div w:id="701247913">
                                      <w:marLeft w:val="0"/>
                                      <w:marRight w:val="0"/>
                                      <w:marTop w:val="0"/>
                                      <w:marBottom w:val="0"/>
                                      <w:divBdr>
                                        <w:top w:val="none" w:sz="0" w:space="0" w:color="auto"/>
                                        <w:left w:val="none" w:sz="0" w:space="0" w:color="auto"/>
                                        <w:bottom w:val="none" w:sz="0" w:space="0" w:color="auto"/>
                                        <w:right w:val="none" w:sz="0" w:space="0" w:color="auto"/>
                                      </w:divBdr>
                                    </w:div>
                                    <w:div w:id="1142231883">
                                      <w:marLeft w:val="0"/>
                                      <w:marRight w:val="0"/>
                                      <w:marTop w:val="150"/>
                                      <w:marBottom w:val="150"/>
                                      <w:divBdr>
                                        <w:top w:val="single" w:sz="6" w:space="8" w:color="000000"/>
                                        <w:left w:val="none" w:sz="0" w:space="0" w:color="auto"/>
                                        <w:bottom w:val="none" w:sz="0" w:space="0" w:color="auto"/>
                                        <w:right w:val="none" w:sz="0" w:space="0" w:color="auto"/>
                                      </w:divBdr>
                                    </w:div>
                                    <w:div w:id="859128950">
                                      <w:marLeft w:val="0"/>
                                      <w:marRight w:val="0"/>
                                      <w:marTop w:val="0"/>
                                      <w:marBottom w:val="0"/>
                                      <w:divBdr>
                                        <w:top w:val="none" w:sz="0" w:space="0" w:color="auto"/>
                                        <w:left w:val="none" w:sz="0" w:space="0" w:color="auto"/>
                                        <w:bottom w:val="none" w:sz="0" w:space="0" w:color="auto"/>
                                        <w:right w:val="none" w:sz="0" w:space="0" w:color="auto"/>
                                      </w:divBdr>
                                    </w:div>
                                    <w:div w:id="1939872640">
                                      <w:marLeft w:val="0"/>
                                      <w:marRight w:val="0"/>
                                      <w:marTop w:val="150"/>
                                      <w:marBottom w:val="150"/>
                                      <w:divBdr>
                                        <w:top w:val="single" w:sz="6" w:space="8" w:color="000000"/>
                                        <w:left w:val="none" w:sz="0" w:space="0" w:color="auto"/>
                                        <w:bottom w:val="none" w:sz="0" w:space="0" w:color="auto"/>
                                        <w:right w:val="none" w:sz="0" w:space="0" w:color="auto"/>
                                      </w:divBdr>
                                    </w:div>
                                    <w:div w:id="338821535">
                                      <w:marLeft w:val="0"/>
                                      <w:marRight w:val="0"/>
                                      <w:marTop w:val="0"/>
                                      <w:marBottom w:val="0"/>
                                      <w:divBdr>
                                        <w:top w:val="none" w:sz="0" w:space="0" w:color="auto"/>
                                        <w:left w:val="none" w:sz="0" w:space="0" w:color="auto"/>
                                        <w:bottom w:val="none" w:sz="0" w:space="0" w:color="auto"/>
                                        <w:right w:val="none" w:sz="0" w:space="0" w:color="auto"/>
                                      </w:divBdr>
                                    </w:div>
                                    <w:div w:id="763307377">
                                      <w:marLeft w:val="0"/>
                                      <w:marRight w:val="0"/>
                                      <w:marTop w:val="150"/>
                                      <w:marBottom w:val="150"/>
                                      <w:divBdr>
                                        <w:top w:val="single" w:sz="6" w:space="8" w:color="000000"/>
                                        <w:left w:val="none" w:sz="0" w:space="0" w:color="auto"/>
                                        <w:bottom w:val="none" w:sz="0" w:space="0" w:color="auto"/>
                                        <w:right w:val="none" w:sz="0" w:space="0" w:color="auto"/>
                                      </w:divBdr>
                                    </w:div>
                                    <w:div w:id="1876381323">
                                      <w:marLeft w:val="0"/>
                                      <w:marRight w:val="0"/>
                                      <w:marTop w:val="0"/>
                                      <w:marBottom w:val="0"/>
                                      <w:divBdr>
                                        <w:top w:val="none" w:sz="0" w:space="0" w:color="auto"/>
                                        <w:left w:val="none" w:sz="0" w:space="0" w:color="auto"/>
                                        <w:bottom w:val="none" w:sz="0" w:space="0" w:color="auto"/>
                                        <w:right w:val="none" w:sz="0" w:space="0" w:color="auto"/>
                                      </w:divBdr>
                                    </w:div>
                                    <w:div w:id="1426027516">
                                      <w:marLeft w:val="0"/>
                                      <w:marRight w:val="0"/>
                                      <w:marTop w:val="150"/>
                                      <w:marBottom w:val="150"/>
                                      <w:divBdr>
                                        <w:top w:val="single" w:sz="6" w:space="8" w:color="000000"/>
                                        <w:left w:val="none" w:sz="0" w:space="0" w:color="auto"/>
                                        <w:bottom w:val="none" w:sz="0" w:space="0" w:color="auto"/>
                                        <w:right w:val="none" w:sz="0" w:space="0" w:color="auto"/>
                                      </w:divBdr>
                                    </w:div>
                                    <w:div w:id="7519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3690</Words>
  <Characters>21034</Characters>
  <Application>Microsoft Office Word</Application>
  <DocSecurity>0</DocSecurity>
  <Lines>175</Lines>
  <Paragraphs>49</Paragraphs>
  <ScaleCrop>false</ScaleCrop>
  <Company/>
  <LinksUpToDate>false</LinksUpToDate>
  <CharactersWithSpaces>24675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3</cp:revision>
  <dcterms:created xsi:type="dcterms:W3CDTF">2020-12-11T11:35:00Z</dcterms:created>
  <dcterms:modified xsi:type="dcterms:W3CDTF">2020-12-11T11:40:00Z</dcterms:modified>
</cp:coreProperties>
</file>