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048" w:rsidRPr="00800048" w:rsidRDefault="00800048" w:rsidP="00800048">
      <w:pPr>
        <w:shd w:val="clear" w:color="auto" w:fill="A3D4C5"/>
        <w:spacing w:before="225" w:line="240" w:lineRule="auto"/>
        <w:outlineLvl w:val="0"/>
        <w:rPr>
          <w:rFonts w:ascii="inherit" w:eastAsia="Times New Roman" w:hAnsi="inherit" w:cs="Times New Roman"/>
          <w:color w:val="3B3B3B"/>
          <w:kern w:val="36"/>
          <w:sz w:val="45"/>
          <w:szCs w:val="45"/>
          <w:lang w:eastAsia="en-IN"/>
        </w:rPr>
      </w:pPr>
      <w:r w:rsidRPr="00800048">
        <w:rPr>
          <w:rFonts w:ascii="inherit" w:eastAsia="Times New Roman" w:hAnsi="inherit" w:cs="Times New Roman"/>
          <w:color w:val="3B3B3B"/>
          <w:kern w:val="36"/>
          <w:sz w:val="45"/>
          <w:szCs w:val="45"/>
          <w:lang w:eastAsia="en-IN"/>
        </w:rPr>
        <w:t>Erythro</w:t>
      </w:r>
      <w:r>
        <w:rPr>
          <w:rFonts w:ascii="inherit" w:eastAsia="Times New Roman" w:hAnsi="inherit" w:cs="Times New Roman"/>
          <w:color w:val="3B3B3B"/>
          <w:kern w:val="36"/>
          <w:sz w:val="45"/>
          <w:szCs w:val="45"/>
          <w:lang w:eastAsia="en-IN"/>
        </w:rPr>
        <w:t>my</w:t>
      </w:r>
      <w:r w:rsidRPr="00800048">
        <w:rPr>
          <w:rFonts w:ascii="inherit" w:eastAsia="Times New Roman" w:hAnsi="inherit" w:cs="Times New Roman"/>
          <w:color w:val="3B3B3B"/>
          <w:kern w:val="36"/>
          <w:sz w:val="45"/>
          <w:szCs w:val="45"/>
          <w:lang w:eastAsia="en-IN"/>
        </w:rPr>
        <w:t>cin 500 Tablets</w:t>
      </w:r>
    </w:p>
    <w:p w:rsidR="00800048" w:rsidRDefault="00800048" w:rsidP="00800048">
      <w:pPr>
        <w:spacing w:before="100" w:beforeAutospacing="1" w:after="100" w:afterAutospacing="1" w:line="240" w:lineRule="auto"/>
        <w:ind w:left="-450"/>
        <w:rPr>
          <w:rFonts w:ascii="Times New Roman" w:eastAsia="Times New Roman" w:hAnsi="Times New Roman" w:cs="Times New Roman"/>
          <w:sz w:val="24"/>
          <w:szCs w:val="24"/>
          <w:lang w:eastAsia="en-IN"/>
        </w:rPr>
      </w:pPr>
      <w:proofErr w:type="gramStart"/>
      <w:r>
        <w:rPr>
          <w:rFonts w:ascii="Times New Roman" w:eastAsia="Times New Roman" w:hAnsi="Times New Roman" w:cs="Times New Roman"/>
          <w:sz w:val="24"/>
          <w:szCs w:val="24"/>
          <w:lang w:eastAsia="en-IN"/>
        </w:rPr>
        <w:t>1 )</w:t>
      </w:r>
      <w:proofErr w:type="gramEnd"/>
      <w:r>
        <w:rPr>
          <w:rFonts w:ascii="Times New Roman" w:eastAsia="Times New Roman" w:hAnsi="Times New Roman" w:cs="Times New Roman"/>
          <w:sz w:val="24"/>
          <w:szCs w:val="24"/>
          <w:lang w:eastAsia="en-IN"/>
        </w:rPr>
        <w:t xml:space="preserve"> Name of the medicinal product </w:t>
      </w:r>
    </w:p>
    <w:p w:rsidR="00800048" w:rsidRPr="0079703B" w:rsidRDefault="00800048" w:rsidP="0079703B">
      <w:pPr>
        <w:pStyle w:val="ListParagraph"/>
        <w:numPr>
          <w:ilvl w:val="1"/>
          <w:numId w:val="7"/>
        </w:numPr>
        <w:spacing w:before="100" w:beforeAutospacing="1" w:after="100" w:afterAutospacing="1" w:line="240" w:lineRule="auto"/>
        <w:rPr>
          <w:rFonts w:ascii="inherit" w:eastAsia="Times New Roman" w:hAnsi="inherit" w:cs="Times New Roman"/>
          <w:color w:val="3B3B3B"/>
          <w:kern w:val="36"/>
          <w:sz w:val="25"/>
          <w:szCs w:val="45"/>
          <w:lang w:eastAsia="en-IN"/>
        </w:rPr>
      </w:pPr>
      <w:r w:rsidRPr="0079703B">
        <w:rPr>
          <w:rFonts w:ascii="Times New Roman" w:eastAsia="Times New Roman" w:hAnsi="Times New Roman" w:cs="Times New Roman"/>
          <w:sz w:val="24"/>
          <w:szCs w:val="24"/>
          <w:lang w:eastAsia="en-IN"/>
        </w:rPr>
        <w:t xml:space="preserve">Product </w:t>
      </w:r>
      <w:proofErr w:type="gramStart"/>
      <w:r w:rsidRPr="0079703B">
        <w:rPr>
          <w:rFonts w:ascii="Times New Roman" w:eastAsia="Times New Roman" w:hAnsi="Times New Roman" w:cs="Times New Roman"/>
          <w:sz w:val="24"/>
          <w:szCs w:val="24"/>
          <w:lang w:eastAsia="en-IN"/>
        </w:rPr>
        <w:t>Name :</w:t>
      </w:r>
      <w:proofErr w:type="gramEnd"/>
      <w:r w:rsidRPr="0079703B">
        <w:rPr>
          <w:rFonts w:ascii="Times New Roman" w:eastAsia="Times New Roman" w:hAnsi="Times New Roman" w:cs="Times New Roman"/>
          <w:sz w:val="24"/>
          <w:szCs w:val="24"/>
          <w:lang w:eastAsia="en-IN"/>
        </w:rPr>
        <w:t xml:space="preserve"> </w:t>
      </w:r>
      <w:r w:rsidRPr="0079703B">
        <w:rPr>
          <w:rFonts w:ascii="inherit" w:eastAsia="Times New Roman" w:hAnsi="inherit" w:cs="Times New Roman"/>
          <w:color w:val="3B3B3B"/>
          <w:kern w:val="36"/>
          <w:sz w:val="25"/>
          <w:szCs w:val="45"/>
          <w:lang w:eastAsia="en-IN"/>
        </w:rPr>
        <w:t>Erythromycin</w:t>
      </w:r>
      <w:r w:rsidRPr="0079703B">
        <w:rPr>
          <w:rFonts w:ascii="inherit" w:eastAsia="Times New Roman" w:hAnsi="inherit" w:cs="Times New Roman"/>
          <w:color w:val="3B3B3B"/>
          <w:kern w:val="36"/>
          <w:sz w:val="25"/>
          <w:szCs w:val="45"/>
          <w:lang w:eastAsia="en-IN"/>
        </w:rPr>
        <w:t xml:space="preserve"> Stearate Tablets BP.500 Mg.</w:t>
      </w:r>
    </w:p>
    <w:p w:rsidR="0079703B" w:rsidRDefault="0079703B" w:rsidP="0079703B">
      <w:pPr>
        <w:pStyle w:val="ListParagraph"/>
        <w:spacing w:before="100" w:beforeAutospacing="1" w:after="100" w:afterAutospacing="1" w:line="240" w:lineRule="auto"/>
        <w:ind w:left="-90"/>
        <w:rPr>
          <w:rFonts w:ascii="Times New Roman" w:eastAsia="Times New Roman" w:hAnsi="Times New Roman" w:cs="Times New Roman"/>
          <w:sz w:val="24"/>
          <w:szCs w:val="24"/>
          <w:lang w:eastAsia="en-IN"/>
        </w:rPr>
      </w:pPr>
      <w:proofErr w:type="spellStart"/>
      <w:r>
        <w:rPr>
          <w:rFonts w:ascii="Times New Roman" w:eastAsia="Times New Roman" w:hAnsi="Times New Roman" w:cs="Times New Roman"/>
          <w:sz w:val="24"/>
          <w:szCs w:val="24"/>
          <w:lang w:eastAsia="en-IN"/>
        </w:rPr>
        <w:t>Genric</w:t>
      </w:r>
      <w:proofErr w:type="spellEnd"/>
      <w:r>
        <w:rPr>
          <w:rFonts w:ascii="Times New Roman" w:eastAsia="Times New Roman" w:hAnsi="Times New Roman" w:cs="Times New Roman"/>
          <w:sz w:val="24"/>
          <w:szCs w:val="24"/>
          <w:lang w:eastAsia="en-IN"/>
        </w:rPr>
        <w:t xml:space="preserve"> Name </w:t>
      </w:r>
      <w:proofErr w:type="gramStart"/>
      <w:r>
        <w:rPr>
          <w:rFonts w:ascii="Times New Roman" w:eastAsia="Times New Roman" w:hAnsi="Times New Roman" w:cs="Times New Roman"/>
          <w:sz w:val="24"/>
          <w:szCs w:val="24"/>
          <w:lang w:eastAsia="en-IN"/>
        </w:rPr>
        <w:t>Or</w:t>
      </w:r>
      <w:proofErr w:type="gramEnd"/>
      <w:r>
        <w:rPr>
          <w:rFonts w:ascii="Times New Roman" w:eastAsia="Times New Roman" w:hAnsi="Times New Roman" w:cs="Times New Roman"/>
          <w:sz w:val="24"/>
          <w:szCs w:val="24"/>
          <w:lang w:eastAsia="en-IN"/>
        </w:rPr>
        <w:t xml:space="preserve"> International Non –Proprietary Name (INN)</w:t>
      </w:r>
    </w:p>
    <w:p w:rsidR="0079703B" w:rsidRDefault="0079703B" w:rsidP="0079703B">
      <w:pPr>
        <w:pStyle w:val="ListParagraph"/>
        <w:spacing w:before="100" w:beforeAutospacing="1" w:after="100" w:afterAutospacing="1" w:line="240" w:lineRule="auto"/>
        <w:ind w:left="-90"/>
        <w:rPr>
          <w:rFonts w:ascii="inherit" w:eastAsia="Times New Roman" w:hAnsi="inherit" w:cs="Times New Roman"/>
          <w:color w:val="3B3B3B"/>
          <w:kern w:val="36"/>
          <w:sz w:val="25"/>
          <w:szCs w:val="45"/>
          <w:lang w:eastAsia="en-IN"/>
        </w:rPr>
      </w:pPr>
      <w:r w:rsidRPr="0079703B">
        <w:rPr>
          <w:rFonts w:ascii="inherit" w:eastAsia="Times New Roman" w:hAnsi="inherit" w:cs="Times New Roman"/>
          <w:color w:val="3B3B3B"/>
          <w:kern w:val="36"/>
          <w:sz w:val="25"/>
          <w:szCs w:val="45"/>
          <w:lang w:eastAsia="en-IN"/>
        </w:rPr>
        <w:t>Erythromycin Stearate Tablets BP.500 Mg</w:t>
      </w:r>
    </w:p>
    <w:p w:rsidR="0079703B" w:rsidRDefault="0079703B" w:rsidP="0079703B">
      <w:pPr>
        <w:pStyle w:val="ListParagraph"/>
        <w:numPr>
          <w:ilvl w:val="1"/>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79703B">
        <w:rPr>
          <w:rFonts w:ascii="inherit" w:eastAsia="Times New Roman" w:hAnsi="inherit" w:cs="Times New Roman"/>
          <w:color w:val="3B3B3B"/>
          <w:kern w:val="36"/>
          <w:sz w:val="25"/>
          <w:szCs w:val="45"/>
          <w:lang w:eastAsia="en-IN"/>
        </w:rPr>
        <w:t xml:space="preserve">  </w:t>
      </w:r>
      <w:r>
        <w:rPr>
          <w:rFonts w:ascii="Times New Roman" w:eastAsia="Times New Roman" w:hAnsi="Times New Roman" w:cs="Times New Roman"/>
          <w:sz w:val="24"/>
          <w:szCs w:val="24"/>
          <w:lang w:eastAsia="en-IN"/>
        </w:rPr>
        <w:t>Each Film Coated Tablet Contains</w:t>
      </w:r>
    </w:p>
    <w:p w:rsidR="0079703B" w:rsidRDefault="0079703B" w:rsidP="0079703B">
      <w:pPr>
        <w:pStyle w:val="ListParagraph"/>
        <w:spacing w:before="100" w:beforeAutospacing="1" w:after="100" w:afterAutospacing="1" w:line="240" w:lineRule="auto"/>
        <w:ind w:left="-90"/>
        <w:rPr>
          <w:rFonts w:ascii="inherit" w:eastAsia="Times New Roman" w:hAnsi="inherit" w:cs="Times New Roman"/>
          <w:color w:val="3B3B3B"/>
          <w:kern w:val="36"/>
          <w:sz w:val="25"/>
          <w:szCs w:val="45"/>
          <w:lang w:eastAsia="en-IN"/>
        </w:rPr>
      </w:pPr>
      <w:r>
        <w:rPr>
          <w:rFonts w:ascii="Times New Roman" w:eastAsia="Times New Roman" w:hAnsi="Times New Roman" w:cs="Times New Roman"/>
          <w:sz w:val="24"/>
          <w:szCs w:val="24"/>
          <w:lang w:eastAsia="en-IN"/>
        </w:rPr>
        <w:t xml:space="preserve">   </w:t>
      </w:r>
      <w:r w:rsidRPr="0079703B">
        <w:rPr>
          <w:rFonts w:ascii="inherit" w:eastAsia="Times New Roman" w:hAnsi="inherit" w:cs="Times New Roman"/>
          <w:color w:val="3B3B3B"/>
          <w:kern w:val="36"/>
          <w:sz w:val="25"/>
          <w:szCs w:val="45"/>
          <w:lang w:eastAsia="en-IN"/>
        </w:rPr>
        <w:t>Erythromycin Stearate</w:t>
      </w:r>
      <w:r>
        <w:rPr>
          <w:rFonts w:ascii="inherit" w:eastAsia="Times New Roman" w:hAnsi="inherit" w:cs="Times New Roman"/>
          <w:color w:val="3B3B3B"/>
          <w:kern w:val="36"/>
          <w:sz w:val="25"/>
          <w:szCs w:val="45"/>
          <w:lang w:eastAsia="en-IN"/>
        </w:rPr>
        <w:t xml:space="preserve"> BP eq.to</w:t>
      </w:r>
      <w:r>
        <w:rPr>
          <w:rFonts w:ascii="Times New Roman" w:eastAsia="Times New Roman" w:hAnsi="Times New Roman" w:cs="Times New Roman"/>
          <w:sz w:val="24"/>
          <w:szCs w:val="24"/>
          <w:lang w:eastAsia="en-IN"/>
        </w:rPr>
        <w:t xml:space="preserve">   </w:t>
      </w:r>
      <w:r w:rsidRPr="0079703B">
        <w:rPr>
          <w:rFonts w:ascii="inherit" w:eastAsia="Times New Roman" w:hAnsi="inherit" w:cs="Times New Roman"/>
          <w:color w:val="3B3B3B"/>
          <w:kern w:val="36"/>
          <w:sz w:val="25"/>
          <w:szCs w:val="45"/>
          <w:lang w:eastAsia="en-IN"/>
        </w:rPr>
        <w:t>Erythromycin 500 Mg</w:t>
      </w:r>
      <w:r>
        <w:rPr>
          <w:rFonts w:ascii="inherit" w:eastAsia="Times New Roman" w:hAnsi="inherit" w:cs="Times New Roman"/>
          <w:color w:val="3B3B3B"/>
          <w:kern w:val="36"/>
          <w:sz w:val="25"/>
          <w:szCs w:val="45"/>
          <w:lang w:eastAsia="en-IN"/>
        </w:rPr>
        <w:t>.</w:t>
      </w:r>
    </w:p>
    <w:p w:rsidR="00952883" w:rsidRPr="00952883" w:rsidRDefault="00952883" w:rsidP="00952883">
      <w:pPr>
        <w:pStyle w:val="ListParagraph"/>
        <w:numPr>
          <w:ilvl w:val="1"/>
          <w:numId w:val="7"/>
        </w:numPr>
        <w:spacing w:before="100" w:beforeAutospacing="1" w:after="100" w:afterAutospacing="1" w:line="240" w:lineRule="auto"/>
        <w:rPr>
          <w:rFonts w:ascii="inherit" w:eastAsia="Times New Roman" w:hAnsi="inherit" w:cs="Times New Roman"/>
          <w:color w:val="3B3B3B"/>
          <w:kern w:val="36"/>
          <w:sz w:val="25"/>
          <w:szCs w:val="45"/>
          <w:lang w:eastAsia="en-IN"/>
        </w:rPr>
      </w:pPr>
      <w:r>
        <w:rPr>
          <w:rFonts w:ascii="Times New Roman" w:eastAsia="Times New Roman" w:hAnsi="Times New Roman" w:cs="Times New Roman"/>
          <w:sz w:val="24"/>
          <w:szCs w:val="24"/>
          <w:lang w:eastAsia="en-IN"/>
        </w:rPr>
        <w:t xml:space="preserve">Dosage </w:t>
      </w:r>
      <w:proofErr w:type="gramStart"/>
      <w:r>
        <w:rPr>
          <w:rFonts w:ascii="Times New Roman" w:eastAsia="Times New Roman" w:hAnsi="Times New Roman" w:cs="Times New Roman"/>
          <w:sz w:val="24"/>
          <w:szCs w:val="24"/>
          <w:lang w:eastAsia="en-IN"/>
        </w:rPr>
        <w:t>Form :</w:t>
      </w:r>
      <w:proofErr w:type="gramEnd"/>
      <w:r>
        <w:rPr>
          <w:rFonts w:ascii="Times New Roman" w:eastAsia="Times New Roman" w:hAnsi="Times New Roman" w:cs="Times New Roman"/>
          <w:sz w:val="24"/>
          <w:szCs w:val="24"/>
          <w:lang w:eastAsia="en-IN"/>
        </w:rPr>
        <w:t xml:space="preserve"> Film Coated Tablet .</w:t>
      </w:r>
    </w:p>
    <w:p w:rsidR="00952883" w:rsidRPr="00952883" w:rsidRDefault="00952883" w:rsidP="00952883">
      <w:pPr>
        <w:pStyle w:val="ListParagraph"/>
        <w:numPr>
          <w:ilvl w:val="0"/>
          <w:numId w:val="7"/>
        </w:numPr>
        <w:spacing w:before="100" w:beforeAutospacing="1" w:after="100" w:afterAutospacing="1" w:line="240" w:lineRule="auto"/>
        <w:rPr>
          <w:rFonts w:ascii="inherit" w:eastAsia="Times New Roman" w:hAnsi="inherit" w:cs="Times New Roman"/>
          <w:color w:val="3B3B3B"/>
          <w:kern w:val="36"/>
          <w:sz w:val="25"/>
          <w:szCs w:val="45"/>
          <w:lang w:eastAsia="en-IN"/>
        </w:rPr>
      </w:pPr>
      <w:r w:rsidRPr="00952883">
        <w:rPr>
          <w:rFonts w:ascii="Times New Roman" w:eastAsia="Times New Roman" w:hAnsi="Times New Roman" w:cs="Times New Roman"/>
          <w:sz w:val="24"/>
          <w:szCs w:val="24"/>
          <w:lang w:eastAsia="en-IN"/>
        </w:rPr>
        <w:t xml:space="preserve">Qualitative and quantitative </w:t>
      </w:r>
      <w:proofErr w:type="gramStart"/>
      <w:r w:rsidRPr="00952883">
        <w:rPr>
          <w:rFonts w:ascii="Times New Roman" w:eastAsia="Times New Roman" w:hAnsi="Times New Roman" w:cs="Times New Roman"/>
          <w:sz w:val="24"/>
          <w:szCs w:val="24"/>
          <w:lang w:eastAsia="en-IN"/>
        </w:rPr>
        <w:t>composition .</w:t>
      </w:r>
      <w:proofErr w:type="gramEnd"/>
    </w:p>
    <w:p w:rsidR="00952883" w:rsidRPr="00952883" w:rsidRDefault="00952883" w:rsidP="00952883">
      <w:pPr>
        <w:pStyle w:val="ListParagraph"/>
        <w:numPr>
          <w:ilvl w:val="1"/>
          <w:numId w:val="7"/>
        </w:numPr>
        <w:spacing w:before="100" w:beforeAutospacing="1" w:after="100" w:afterAutospacing="1" w:line="240" w:lineRule="auto"/>
        <w:rPr>
          <w:rFonts w:ascii="inherit" w:eastAsia="Times New Roman" w:hAnsi="inherit" w:cs="Times New Roman"/>
          <w:color w:val="3B3B3B"/>
          <w:kern w:val="36"/>
          <w:sz w:val="25"/>
          <w:szCs w:val="45"/>
          <w:lang w:eastAsia="en-IN"/>
        </w:rPr>
      </w:pPr>
      <w:r w:rsidRPr="00952883">
        <w:rPr>
          <w:rFonts w:ascii="Times New Roman" w:eastAsia="Times New Roman" w:hAnsi="Times New Roman" w:cs="Times New Roman"/>
          <w:sz w:val="24"/>
          <w:szCs w:val="24"/>
          <w:lang w:eastAsia="en-IN"/>
        </w:rPr>
        <w:t>Qualitative</w:t>
      </w:r>
      <w:r>
        <w:rPr>
          <w:rFonts w:ascii="Times New Roman" w:eastAsia="Times New Roman" w:hAnsi="Times New Roman" w:cs="Times New Roman"/>
          <w:sz w:val="24"/>
          <w:szCs w:val="24"/>
          <w:lang w:eastAsia="en-IN"/>
        </w:rPr>
        <w:t xml:space="preserve"> Declaration </w:t>
      </w:r>
    </w:p>
    <w:p w:rsidR="00952883" w:rsidRDefault="00952883" w:rsidP="00952883">
      <w:pPr>
        <w:pStyle w:val="ListParagraph"/>
        <w:spacing w:before="100" w:beforeAutospacing="1" w:after="100" w:afterAutospacing="1" w:line="240" w:lineRule="auto"/>
        <w:ind w:left="-90"/>
        <w:rPr>
          <w:rFonts w:ascii="Times New Roman" w:eastAsia="Times New Roman" w:hAnsi="Times New Roman" w:cs="Times New Roman"/>
          <w:sz w:val="24"/>
          <w:szCs w:val="24"/>
          <w:lang w:eastAsia="en-IN"/>
        </w:rPr>
      </w:pPr>
      <w:r>
        <w:rPr>
          <w:rFonts w:ascii="inherit" w:eastAsia="Times New Roman" w:hAnsi="inherit" w:cs="Times New Roman"/>
          <w:color w:val="3B3B3B"/>
          <w:kern w:val="36"/>
          <w:sz w:val="25"/>
          <w:szCs w:val="45"/>
          <w:lang w:eastAsia="en-IN"/>
        </w:rPr>
        <w:t xml:space="preserve"> </w:t>
      </w:r>
      <w:r>
        <w:rPr>
          <w:rFonts w:ascii="Times New Roman" w:eastAsia="Times New Roman" w:hAnsi="Times New Roman" w:cs="Times New Roman"/>
          <w:sz w:val="24"/>
          <w:szCs w:val="24"/>
          <w:lang w:eastAsia="en-IN"/>
        </w:rPr>
        <w:t>Each Film Coated Tablet Contains</w:t>
      </w:r>
    </w:p>
    <w:p w:rsidR="00952883" w:rsidRDefault="00952883" w:rsidP="00952883">
      <w:pPr>
        <w:pStyle w:val="ListParagraph"/>
        <w:spacing w:before="100" w:beforeAutospacing="1" w:after="100" w:afterAutospacing="1" w:line="240" w:lineRule="auto"/>
        <w:ind w:left="-90"/>
        <w:rPr>
          <w:rFonts w:ascii="inherit" w:eastAsia="Times New Roman" w:hAnsi="inherit" w:cs="Times New Roman"/>
          <w:color w:val="3B3B3B"/>
          <w:kern w:val="36"/>
          <w:sz w:val="25"/>
          <w:szCs w:val="45"/>
          <w:lang w:eastAsia="en-IN"/>
        </w:rPr>
      </w:pPr>
      <w:r>
        <w:rPr>
          <w:rFonts w:ascii="Times New Roman" w:eastAsia="Times New Roman" w:hAnsi="Times New Roman" w:cs="Times New Roman"/>
          <w:sz w:val="24"/>
          <w:szCs w:val="24"/>
          <w:lang w:eastAsia="en-IN"/>
        </w:rPr>
        <w:t xml:space="preserve">   </w:t>
      </w:r>
      <w:r w:rsidRPr="0079703B">
        <w:rPr>
          <w:rFonts w:ascii="inherit" w:eastAsia="Times New Roman" w:hAnsi="inherit" w:cs="Times New Roman"/>
          <w:color w:val="3B3B3B"/>
          <w:kern w:val="36"/>
          <w:sz w:val="25"/>
          <w:szCs w:val="45"/>
          <w:lang w:eastAsia="en-IN"/>
        </w:rPr>
        <w:t>Erythromycin Stearate</w:t>
      </w:r>
      <w:r>
        <w:rPr>
          <w:rFonts w:ascii="inherit" w:eastAsia="Times New Roman" w:hAnsi="inherit" w:cs="Times New Roman"/>
          <w:color w:val="3B3B3B"/>
          <w:kern w:val="36"/>
          <w:sz w:val="25"/>
          <w:szCs w:val="45"/>
          <w:lang w:eastAsia="en-IN"/>
        </w:rPr>
        <w:t xml:space="preserve"> BP eq.to</w:t>
      </w:r>
      <w:r>
        <w:rPr>
          <w:rFonts w:ascii="Times New Roman" w:eastAsia="Times New Roman" w:hAnsi="Times New Roman" w:cs="Times New Roman"/>
          <w:sz w:val="24"/>
          <w:szCs w:val="24"/>
          <w:lang w:eastAsia="en-IN"/>
        </w:rPr>
        <w:t xml:space="preserve">   </w:t>
      </w:r>
      <w:r w:rsidRPr="0079703B">
        <w:rPr>
          <w:rFonts w:ascii="inherit" w:eastAsia="Times New Roman" w:hAnsi="inherit" w:cs="Times New Roman"/>
          <w:color w:val="3B3B3B"/>
          <w:kern w:val="36"/>
          <w:sz w:val="25"/>
          <w:szCs w:val="45"/>
          <w:lang w:eastAsia="en-IN"/>
        </w:rPr>
        <w:t>Erythromycin 500 Mg</w:t>
      </w:r>
      <w:r>
        <w:rPr>
          <w:rFonts w:ascii="inherit" w:eastAsia="Times New Roman" w:hAnsi="inherit" w:cs="Times New Roman"/>
          <w:color w:val="3B3B3B"/>
          <w:kern w:val="36"/>
          <w:sz w:val="25"/>
          <w:szCs w:val="45"/>
          <w:lang w:eastAsia="en-IN"/>
        </w:rPr>
        <w:t>.</w:t>
      </w:r>
    </w:p>
    <w:p w:rsidR="00AC1B93" w:rsidRDefault="00AC1B93" w:rsidP="00AC1B93">
      <w:pPr>
        <w:pStyle w:val="ListParagraph"/>
        <w:numPr>
          <w:ilvl w:val="0"/>
          <w:numId w:val="7"/>
        </w:numPr>
        <w:spacing w:before="100" w:beforeAutospacing="1" w:after="100" w:afterAutospacing="1" w:line="240" w:lineRule="auto"/>
        <w:rPr>
          <w:rFonts w:ascii="inherit" w:eastAsia="Times New Roman" w:hAnsi="inherit" w:cs="Times New Roman"/>
          <w:color w:val="3B3B3B"/>
          <w:kern w:val="36"/>
          <w:sz w:val="25"/>
          <w:szCs w:val="45"/>
          <w:lang w:eastAsia="en-IN"/>
        </w:rPr>
      </w:pPr>
      <w:r>
        <w:rPr>
          <w:rFonts w:ascii="inherit" w:eastAsia="Times New Roman" w:hAnsi="inherit" w:cs="Times New Roman"/>
          <w:color w:val="3B3B3B"/>
          <w:kern w:val="36"/>
          <w:sz w:val="25"/>
          <w:szCs w:val="45"/>
          <w:lang w:eastAsia="en-IN"/>
        </w:rPr>
        <w:t xml:space="preserve">Pharmaceutical Form : </w:t>
      </w:r>
    </w:p>
    <w:p w:rsidR="00800048" w:rsidRPr="00800048" w:rsidRDefault="00AC1B93" w:rsidP="00AC1B93">
      <w:pPr>
        <w:pStyle w:val="ListParagraph"/>
        <w:spacing w:before="100" w:beforeAutospacing="1" w:after="100" w:afterAutospacing="1" w:line="240" w:lineRule="auto"/>
        <w:ind w:left="360"/>
        <w:rPr>
          <w:rFonts w:ascii="inherit" w:eastAsia="Times New Roman" w:hAnsi="inherit" w:cs="Times New Roman"/>
          <w:color w:val="3B3B3B"/>
          <w:kern w:val="36"/>
          <w:sz w:val="25"/>
          <w:szCs w:val="45"/>
          <w:lang w:eastAsia="en-IN"/>
        </w:rPr>
      </w:pPr>
      <w:r>
        <w:rPr>
          <w:rFonts w:ascii="inherit" w:eastAsia="Times New Roman" w:hAnsi="inherit" w:cs="Times New Roman"/>
          <w:color w:val="3B3B3B"/>
          <w:kern w:val="36"/>
          <w:sz w:val="25"/>
          <w:szCs w:val="45"/>
          <w:lang w:eastAsia="en-IN"/>
        </w:rPr>
        <w:t>Pink Coloured Film Coated tablet Embossed ERY-500</w:t>
      </w:r>
    </w:p>
    <w:p w:rsidR="00800048" w:rsidRPr="00800048" w:rsidRDefault="00800048" w:rsidP="00800048">
      <w:pPr>
        <w:spacing w:after="150" w:line="240" w:lineRule="auto"/>
        <w:rPr>
          <w:rFonts w:ascii="Arial" w:eastAsia="Times New Roman" w:hAnsi="Arial" w:cs="Arial"/>
          <w:b/>
          <w:bCs/>
          <w:color w:val="397360"/>
          <w:sz w:val="26"/>
          <w:szCs w:val="26"/>
          <w:lang w:eastAsia="en-IN"/>
        </w:rPr>
      </w:pPr>
      <w:r w:rsidRPr="00800048">
        <w:rPr>
          <w:rFonts w:ascii="Arial" w:eastAsia="Times New Roman" w:hAnsi="Arial" w:cs="Arial"/>
          <w:b/>
          <w:bCs/>
          <w:color w:val="397360"/>
          <w:sz w:val="26"/>
          <w:szCs w:val="26"/>
          <w:lang w:eastAsia="en-IN"/>
        </w:rPr>
        <w:t>4. Clinical particulars</w:t>
      </w:r>
    </w:p>
    <w:p w:rsidR="00800048" w:rsidRPr="00800048" w:rsidRDefault="00800048" w:rsidP="00800048">
      <w:pPr>
        <w:spacing w:after="0" w:line="240" w:lineRule="auto"/>
        <w:rPr>
          <w:rFonts w:ascii="Arial" w:eastAsia="Times New Roman" w:hAnsi="Arial" w:cs="Arial"/>
          <w:b/>
          <w:bCs/>
          <w:color w:val="000000"/>
          <w:sz w:val="20"/>
          <w:szCs w:val="20"/>
          <w:lang w:eastAsia="en-IN"/>
        </w:rPr>
      </w:pPr>
      <w:r w:rsidRPr="00800048">
        <w:rPr>
          <w:rFonts w:ascii="Arial" w:eastAsia="Times New Roman" w:hAnsi="Arial" w:cs="Arial"/>
          <w:b/>
          <w:bCs/>
          <w:color w:val="000000"/>
          <w:sz w:val="20"/>
          <w:szCs w:val="20"/>
          <w:lang w:eastAsia="en-IN"/>
        </w:rPr>
        <w:t>4.1 Therapeutic indications</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For the prophylaxis and treatment of infections caused by erythromycin-sensitive organisms.</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Erythromycin is highly effective in the treatment of a great variety of clinical infections such as:</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 xml:space="preserve">1. Upper Respiratory Tract infections: tonsillitis, </w:t>
      </w:r>
      <w:proofErr w:type="spellStart"/>
      <w:r w:rsidRPr="00800048">
        <w:rPr>
          <w:rFonts w:ascii="Arial" w:eastAsia="Times New Roman" w:hAnsi="Arial" w:cs="Arial"/>
          <w:lang w:eastAsia="en-IN"/>
        </w:rPr>
        <w:t>peritonsillar</w:t>
      </w:r>
      <w:proofErr w:type="spellEnd"/>
      <w:r w:rsidRPr="00800048">
        <w:rPr>
          <w:rFonts w:ascii="Arial" w:eastAsia="Times New Roman" w:hAnsi="Arial" w:cs="Arial"/>
          <w:lang w:eastAsia="en-IN"/>
        </w:rPr>
        <w:t xml:space="preserve"> abscess, pharyngitis, laryngitis, sinusitis, secondary infections in influenza and common colds</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 xml:space="preserve">2. Lower Respiratory Tract infections: </w:t>
      </w:r>
      <w:proofErr w:type="spellStart"/>
      <w:r w:rsidRPr="00800048">
        <w:rPr>
          <w:rFonts w:ascii="Arial" w:eastAsia="Times New Roman" w:hAnsi="Arial" w:cs="Arial"/>
          <w:lang w:eastAsia="en-IN"/>
        </w:rPr>
        <w:t>tracheitis</w:t>
      </w:r>
      <w:proofErr w:type="spellEnd"/>
      <w:r w:rsidRPr="00800048">
        <w:rPr>
          <w:rFonts w:ascii="Arial" w:eastAsia="Times New Roman" w:hAnsi="Arial" w:cs="Arial"/>
          <w:lang w:eastAsia="en-IN"/>
        </w:rPr>
        <w:t>, acute and chronic bronchitis, pneumonia (lobar pneumonia, bronchopneumonia, primary atypical pneumonia), bronchiectasis, Legionnaire's disease</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 xml:space="preserve">3. Ear infection: otitis media and otitis </w:t>
      </w:r>
      <w:proofErr w:type="spellStart"/>
      <w:r w:rsidRPr="00800048">
        <w:rPr>
          <w:rFonts w:ascii="Arial" w:eastAsia="Times New Roman" w:hAnsi="Arial" w:cs="Arial"/>
          <w:lang w:eastAsia="en-IN"/>
        </w:rPr>
        <w:t>externa</w:t>
      </w:r>
      <w:proofErr w:type="spellEnd"/>
      <w:r w:rsidRPr="00800048">
        <w:rPr>
          <w:rFonts w:ascii="Arial" w:eastAsia="Times New Roman" w:hAnsi="Arial" w:cs="Arial"/>
          <w:lang w:eastAsia="en-IN"/>
        </w:rPr>
        <w:t xml:space="preserve">, </w:t>
      </w:r>
      <w:proofErr w:type="spellStart"/>
      <w:r w:rsidRPr="00800048">
        <w:rPr>
          <w:rFonts w:ascii="Arial" w:eastAsia="Times New Roman" w:hAnsi="Arial" w:cs="Arial"/>
          <w:lang w:eastAsia="en-IN"/>
        </w:rPr>
        <w:t>mastoiditis</w:t>
      </w:r>
      <w:proofErr w:type="spellEnd"/>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4. Oral infections: gingivitis, Vincent's angina</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 xml:space="preserve">5. Eye infections: </w:t>
      </w:r>
      <w:proofErr w:type="spellStart"/>
      <w:r w:rsidRPr="00800048">
        <w:rPr>
          <w:rFonts w:ascii="Arial" w:eastAsia="Times New Roman" w:hAnsi="Arial" w:cs="Arial"/>
          <w:lang w:eastAsia="en-IN"/>
        </w:rPr>
        <w:t>blepharitis</w:t>
      </w:r>
      <w:proofErr w:type="spellEnd"/>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 xml:space="preserve">6. Skin and soft tissue infections: boils and carbuncles, paronychia, abscesses, </w:t>
      </w:r>
      <w:proofErr w:type="spellStart"/>
      <w:r w:rsidRPr="00800048">
        <w:rPr>
          <w:rFonts w:ascii="Arial" w:eastAsia="Times New Roman" w:hAnsi="Arial" w:cs="Arial"/>
          <w:lang w:eastAsia="en-IN"/>
        </w:rPr>
        <w:t>pustular</w:t>
      </w:r>
      <w:proofErr w:type="spellEnd"/>
      <w:r w:rsidRPr="00800048">
        <w:rPr>
          <w:rFonts w:ascii="Arial" w:eastAsia="Times New Roman" w:hAnsi="Arial" w:cs="Arial"/>
          <w:lang w:eastAsia="en-IN"/>
        </w:rPr>
        <w:t xml:space="preserve"> acne, impetigo, cellulitis, erysipelas</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 xml:space="preserve">7. Gastrointestinal infections: </w:t>
      </w:r>
      <w:proofErr w:type="spellStart"/>
      <w:r w:rsidRPr="00800048">
        <w:rPr>
          <w:rFonts w:ascii="Arial" w:eastAsia="Times New Roman" w:hAnsi="Arial" w:cs="Arial"/>
          <w:lang w:eastAsia="en-IN"/>
        </w:rPr>
        <w:t>cholecystitis</w:t>
      </w:r>
      <w:proofErr w:type="spellEnd"/>
      <w:r w:rsidRPr="00800048">
        <w:rPr>
          <w:rFonts w:ascii="Arial" w:eastAsia="Times New Roman" w:hAnsi="Arial" w:cs="Arial"/>
          <w:lang w:eastAsia="en-IN"/>
        </w:rPr>
        <w:t xml:space="preserve">, staphylococcal </w:t>
      </w:r>
      <w:proofErr w:type="spellStart"/>
      <w:r w:rsidRPr="00800048">
        <w:rPr>
          <w:rFonts w:ascii="Arial" w:eastAsia="Times New Roman" w:hAnsi="Arial" w:cs="Arial"/>
          <w:lang w:eastAsia="en-IN"/>
        </w:rPr>
        <w:t>enterocolitis</w:t>
      </w:r>
      <w:proofErr w:type="spellEnd"/>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8. Prophylaxis: pre- and post- operative trauma, burns, rheumatic fever</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 xml:space="preserve">9. Other infections: osteomyelitis, urethritis, gonorrhoea, syphilis, </w:t>
      </w:r>
      <w:proofErr w:type="spellStart"/>
      <w:r w:rsidRPr="00800048">
        <w:rPr>
          <w:rFonts w:ascii="Arial" w:eastAsia="Times New Roman" w:hAnsi="Arial" w:cs="Arial"/>
          <w:lang w:eastAsia="en-IN"/>
        </w:rPr>
        <w:t>lymphogranuloma</w:t>
      </w:r>
      <w:proofErr w:type="spellEnd"/>
      <w:r w:rsidRPr="00800048">
        <w:rPr>
          <w:rFonts w:ascii="Arial" w:eastAsia="Times New Roman" w:hAnsi="Arial" w:cs="Arial"/>
          <w:lang w:eastAsia="en-IN"/>
        </w:rPr>
        <w:t xml:space="preserve"> </w:t>
      </w:r>
      <w:proofErr w:type="spellStart"/>
      <w:r w:rsidRPr="00800048">
        <w:rPr>
          <w:rFonts w:ascii="Arial" w:eastAsia="Times New Roman" w:hAnsi="Arial" w:cs="Arial"/>
          <w:lang w:eastAsia="en-IN"/>
        </w:rPr>
        <w:t>venereum</w:t>
      </w:r>
      <w:proofErr w:type="spellEnd"/>
      <w:r w:rsidRPr="00800048">
        <w:rPr>
          <w:rFonts w:ascii="Arial" w:eastAsia="Times New Roman" w:hAnsi="Arial" w:cs="Arial"/>
          <w:lang w:eastAsia="en-IN"/>
        </w:rPr>
        <w:t>, diphtheria, prostatitis, scarlet fever</w:t>
      </w:r>
    </w:p>
    <w:p w:rsidR="00800048" w:rsidRPr="00800048" w:rsidRDefault="00800048" w:rsidP="00800048">
      <w:pPr>
        <w:spacing w:after="0" w:line="240" w:lineRule="auto"/>
        <w:rPr>
          <w:rFonts w:ascii="Arial" w:eastAsia="Times New Roman" w:hAnsi="Arial" w:cs="Arial"/>
          <w:b/>
          <w:bCs/>
          <w:color w:val="000000"/>
          <w:sz w:val="20"/>
          <w:szCs w:val="20"/>
          <w:lang w:eastAsia="en-IN"/>
        </w:rPr>
      </w:pPr>
      <w:r w:rsidRPr="00800048">
        <w:rPr>
          <w:rFonts w:ascii="Arial" w:eastAsia="Times New Roman" w:hAnsi="Arial" w:cs="Arial"/>
          <w:b/>
          <w:bCs/>
          <w:color w:val="000000"/>
          <w:sz w:val="20"/>
          <w:szCs w:val="20"/>
          <w:lang w:eastAsia="en-IN"/>
        </w:rPr>
        <w:t>4.2 Posology and method of administration</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For oral administrations.</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Adults and children over 8 years: For mild to moderate infections 2g daily in divided doses. Up to 4g daily in severe infections.</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Elderly: No special dosage recommendations.</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lastRenderedPageBreak/>
        <w:t xml:space="preserve">Note: For younger children, infants and babies, </w:t>
      </w:r>
      <w:proofErr w:type="spellStart"/>
      <w:r w:rsidRPr="00800048">
        <w:rPr>
          <w:rFonts w:ascii="Arial" w:eastAsia="Times New Roman" w:hAnsi="Arial" w:cs="Arial"/>
          <w:lang w:eastAsia="en-IN"/>
        </w:rPr>
        <w:t>Erythroped</w:t>
      </w:r>
      <w:proofErr w:type="spellEnd"/>
      <w:r w:rsidRPr="00800048">
        <w:rPr>
          <w:rFonts w:ascii="Arial" w:eastAsia="Times New Roman" w:hAnsi="Arial" w:cs="Arial"/>
          <w:lang w:eastAsia="en-IN"/>
        </w:rPr>
        <w:t xml:space="preserve">, erythromycin </w:t>
      </w:r>
      <w:proofErr w:type="spellStart"/>
      <w:r w:rsidRPr="00800048">
        <w:rPr>
          <w:rFonts w:ascii="Arial" w:eastAsia="Times New Roman" w:hAnsi="Arial" w:cs="Arial"/>
          <w:lang w:eastAsia="en-IN"/>
        </w:rPr>
        <w:t>ethylsuccinate</w:t>
      </w:r>
      <w:proofErr w:type="spellEnd"/>
      <w:r w:rsidRPr="00800048">
        <w:rPr>
          <w:rFonts w:ascii="Arial" w:eastAsia="Times New Roman" w:hAnsi="Arial" w:cs="Arial"/>
          <w:lang w:eastAsia="en-IN"/>
        </w:rPr>
        <w:t xml:space="preserve"> suspensions, are normally recommended. The recommended dose for children age 2-8 years, for mild to moderate infections, is 1 gram daily in divided doses. The recommended dose for infants and babies, for mild to moderate infections, is 500 mg daily in divided doses. For severe infections doses may be doubled.</w:t>
      </w:r>
    </w:p>
    <w:p w:rsidR="00800048" w:rsidRPr="00800048" w:rsidRDefault="00800048" w:rsidP="00800048">
      <w:pPr>
        <w:spacing w:after="0" w:line="240" w:lineRule="auto"/>
        <w:rPr>
          <w:rFonts w:ascii="Arial" w:eastAsia="Times New Roman" w:hAnsi="Arial" w:cs="Arial"/>
          <w:b/>
          <w:bCs/>
          <w:color w:val="000000"/>
          <w:sz w:val="20"/>
          <w:szCs w:val="20"/>
          <w:lang w:eastAsia="en-IN"/>
        </w:rPr>
      </w:pPr>
      <w:r w:rsidRPr="00800048">
        <w:rPr>
          <w:rFonts w:ascii="Arial" w:eastAsia="Times New Roman" w:hAnsi="Arial" w:cs="Arial"/>
          <w:b/>
          <w:bCs/>
          <w:color w:val="000000"/>
          <w:sz w:val="20"/>
          <w:szCs w:val="20"/>
          <w:lang w:eastAsia="en-IN"/>
        </w:rPr>
        <w:t>4.3 Contraindications</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Known hypersensitivity to erythromycin.</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 xml:space="preserve">Erythromycin is contraindicated in patients taking simvastatin, </w:t>
      </w:r>
      <w:proofErr w:type="spellStart"/>
      <w:r w:rsidRPr="00800048">
        <w:rPr>
          <w:rFonts w:ascii="Arial" w:eastAsia="Times New Roman" w:hAnsi="Arial" w:cs="Arial"/>
          <w:lang w:eastAsia="en-IN"/>
        </w:rPr>
        <w:t>tolterodine</w:t>
      </w:r>
      <w:proofErr w:type="spellEnd"/>
      <w:r w:rsidRPr="00800048">
        <w:rPr>
          <w:rFonts w:ascii="Arial" w:eastAsia="Times New Roman" w:hAnsi="Arial" w:cs="Arial"/>
          <w:lang w:eastAsia="en-IN"/>
        </w:rPr>
        <w:t xml:space="preserve">, </w:t>
      </w:r>
      <w:proofErr w:type="spellStart"/>
      <w:r w:rsidRPr="00800048">
        <w:rPr>
          <w:rFonts w:ascii="Arial" w:eastAsia="Times New Roman" w:hAnsi="Arial" w:cs="Arial"/>
          <w:lang w:eastAsia="en-IN"/>
        </w:rPr>
        <w:t>mizolastine</w:t>
      </w:r>
      <w:proofErr w:type="spellEnd"/>
      <w:r w:rsidRPr="00800048">
        <w:rPr>
          <w:rFonts w:ascii="Arial" w:eastAsia="Times New Roman" w:hAnsi="Arial" w:cs="Arial"/>
          <w:lang w:eastAsia="en-IN"/>
        </w:rPr>
        <w:t xml:space="preserve">, </w:t>
      </w:r>
      <w:proofErr w:type="spellStart"/>
      <w:r w:rsidRPr="00800048">
        <w:rPr>
          <w:rFonts w:ascii="Arial" w:eastAsia="Times New Roman" w:hAnsi="Arial" w:cs="Arial"/>
          <w:lang w:eastAsia="en-IN"/>
        </w:rPr>
        <w:t>amisulpride</w:t>
      </w:r>
      <w:proofErr w:type="spellEnd"/>
      <w:r w:rsidRPr="00800048">
        <w:rPr>
          <w:rFonts w:ascii="Arial" w:eastAsia="Times New Roman" w:hAnsi="Arial" w:cs="Arial"/>
          <w:lang w:eastAsia="en-IN"/>
        </w:rPr>
        <w:t xml:space="preserve">, </w:t>
      </w:r>
      <w:proofErr w:type="spellStart"/>
      <w:r w:rsidRPr="00800048">
        <w:rPr>
          <w:rFonts w:ascii="Arial" w:eastAsia="Times New Roman" w:hAnsi="Arial" w:cs="Arial"/>
          <w:lang w:eastAsia="en-IN"/>
        </w:rPr>
        <w:t>astemizole</w:t>
      </w:r>
      <w:proofErr w:type="spellEnd"/>
      <w:r w:rsidRPr="00800048">
        <w:rPr>
          <w:rFonts w:ascii="Arial" w:eastAsia="Times New Roman" w:hAnsi="Arial" w:cs="Arial"/>
          <w:lang w:eastAsia="en-IN"/>
        </w:rPr>
        <w:t xml:space="preserve">, </w:t>
      </w:r>
      <w:proofErr w:type="spellStart"/>
      <w:r w:rsidRPr="00800048">
        <w:rPr>
          <w:rFonts w:ascii="Arial" w:eastAsia="Times New Roman" w:hAnsi="Arial" w:cs="Arial"/>
          <w:lang w:eastAsia="en-IN"/>
        </w:rPr>
        <w:t>terfenadine</w:t>
      </w:r>
      <w:proofErr w:type="spellEnd"/>
      <w:r w:rsidRPr="00800048">
        <w:rPr>
          <w:rFonts w:ascii="Arial" w:eastAsia="Times New Roman" w:hAnsi="Arial" w:cs="Arial"/>
          <w:lang w:eastAsia="en-IN"/>
        </w:rPr>
        <w:t xml:space="preserve">, </w:t>
      </w:r>
      <w:proofErr w:type="spellStart"/>
      <w:r w:rsidRPr="00800048">
        <w:rPr>
          <w:rFonts w:ascii="Arial" w:eastAsia="Times New Roman" w:hAnsi="Arial" w:cs="Arial"/>
          <w:lang w:eastAsia="en-IN"/>
        </w:rPr>
        <w:t>domperidone</w:t>
      </w:r>
      <w:proofErr w:type="spellEnd"/>
      <w:r w:rsidRPr="00800048">
        <w:rPr>
          <w:rFonts w:ascii="Arial" w:eastAsia="Times New Roman" w:hAnsi="Arial" w:cs="Arial"/>
          <w:lang w:eastAsia="en-IN"/>
        </w:rPr>
        <w:t xml:space="preserve">, </w:t>
      </w:r>
      <w:proofErr w:type="spellStart"/>
      <w:r w:rsidRPr="00800048">
        <w:rPr>
          <w:rFonts w:ascii="Arial" w:eastAsia="Times New Roman" w:hAnsi="Arial" w:cs="Arial"/>
          <w:lang w:eastAsia="en-IN"/>
        </w:rPr>
        <w:t>cisapride</w:t>
      </w:r>
      <w:proofErr w:type="spellEnd"/>
      <w:r w:rsidRPr="00800048">
        <w:rPr>
          <w:rFonts w:ascii="Arial" w:eastAsia="Times New Roman" w:hAnsi="Arial" w:cs="Arial"/>
          <w:lang w:eastAsia="en-IN"/>
        </w:rPr>
        <w:t xml:space="preserve"> or </w:t>
      </w:r>
      <w:proofErr w:type="spellStart"/>
      <w:r w:rsidRPr="00800048">
        <w:rPr>
          <w:rFonts w:ascii="Arial" w:eastAsia="Times New Roman" w:hAnsi="Arial" w:cs="Arial"/>
          <w:lang w:eastAsia="en-IN"/>
        </w:rPr>
        <w:t>pimozide</w:t>
      </w:r>
      <w:proofErr w:type="spellEnd"/>
      <w:r w:rsidRPr="00800048">
        <w:rPr>
          <w:rFonts w:ascii="Arial" w:eastAsia="Times New Roman" w:hAnsi="Arial" w:cs="Arial"/>
          <w:lang w:eastAsia="en-IN"/>
        </w:rPr>
        <w:t>.</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 xml:space="preserve">Erythromycin is contraindicated with ergotamine and </w:t>
      </w:r>
      <w:proofErr w:type="spellStart"/>
      <w:r w:rsidRPr="00800048">
        <w:rPr>
          <w:rFonts w:ascii="Arial" w:eastAsia="Times New Roman" w:hAnsi="Arial" w:cs="Arial"/>
          <w:lang w:eastAsia="en-IN"/>
        </w:rPr>
        <w:t>dihydroergotamine</w:t>
      </w:r>
      <w:proofErr w:type="spellEnd"/>
      <w:r w:rsidRPr="00800048">
        <w:rPr>
          <w:rFonts w:ascii="Arial" w:eastAsia="Times New Roman" w:hAnsi="Arial" w:cs="Arial"/>
          <w:lang w:eastAsia="en-IN"/>
        </w:rPr>
        <w:t>.</w:t>
      </w:r>
    </w:p>
    <w:p w:rsidR="00800048" w:rsidRPr="00800048" w:rsidRDefault="00800048" w:rsidP="00800048">
      <w:pPr>
        <w:spacing w:after="0" w:line="240" w:lineRule="auto"/>
        <w:rPr>
          <w:rFonts w:ascii="Arial" w:eastAsia="Times New Roman" w:hAnsi="Arial" w:cs="Arial"/>
          <w:b/>
          <w:bCs/>
          <w:color w:val="000000"/>
          <w:sz w:val="20"/>
          <w:szCs w:val="20"/>
          <w:lang w:eastAsia="en-IN"/>
        </w:rPr>
      </w:pPr>
      <w:r w:rsidRPr="00800048">
        <w:rPr>
          <w:rFonts w:ascii="Arial" w:eastAsia="Times New Roman" w:hAnsi="Arial" w:cs="Arial"/>
          <w:b/>
          <w:bCs/>
          <w:color w:val="000000"/>
          <w:sz w:val="20"/>
          <w:szCs w:val="20"/>
          <w:lang w:eastAsia="en-IN"/>
        </w:rPr>
        <w:t>4.4 Special warnings and precautions for use</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 xml:space="preserve">Erythromycin is excreted principally by the liver, so caution should be exercised in administering the antibiotic to patients with impaired hepatic function or concomitantly receiving potentially hepatotoxic agents. Hepatic dysfunction including increased liver enzymes and/or </w:t>
      </w:r>
      <w:proofErr w:type="spellStart"/>
      <w:r w:rsidRPr="00800048">
        <w:rPr>
          <w:rFonts w:ascii="Arial" w:eastAsia="Times New Roman" w:hAnsi="Arial" w:cs="Arial"/>
          <w:lang w:eastAsia="en-IN"/>
        </w:rPr>
        <w:t>cholestatic</w:t>
      </w:r>
      <w:proofErr w:type="spellEnd"/>
      <w:r w:rsidRPr="00800048">
        <w:rPr>
          <w:rFonts w:ascii="Arial" w:eastAsia="Times New Roman" w:hAnsi="Arial" w:cs="Arial"/>
          <w:lang w:eastAsia="en-IN"/>
        </w:rPr>
        <w:t xml:space="preserve"> hepatitis, with or without jaundice, has been infrequently reported with erythromycin.</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 xml:space="preserve">Pseudomembranous colitis has been reported with nearly all antibacterial agents, including macrolides, and may range in severity from mild to life-threatening (see section.4.8). Clostridium </w:t>
      </w:r>
      <w:proofErr w:type="spellStart"/>
      <w:r w:rsidRPr="00800048">
        <w:rPr>
          <w:rFonts w:ascii="Arial" w:eastAsia="Times New Roman" w:hAnsi="Arial" w:cs="Arial"/>
          <w:lang w:eastAsia="en-IN"/>
        </w:rPr>
        <w:t>difficile</w:t>
      </w:r>
      <w:proofErr w:type="spellEnd"/>
      <w:r w:rsidRPr="00800048">
        <w:rPr>
          <w:rFonts w:ascii="Arial" w:eastAsia="Times New Roman" w:hAnsi="Arial" w:cs="Arial"/>
          <w:lang w:eastAsia="en-IN"/>
        </w:rPr>
        <w:t xml:space="preserve">-associated diarrhoea (CDAD) has been reported with use of nearly all antibacterial agents including erythromycin, and may range in severity from mild diarrhoea to fatal colitis. Treatment with antibacterial agents alters the normal flora of the colon, which may lead to overgrowth of C. </w:t>
      </w:r>
      <w:proofErr w:type="spellStart"/>
      <w:r w:rsidRPr="00800048">
        <w:rPr>
          <w:rFonts w:ascii="Arial" w:eastAsia="Times New Roman" w:hAnsi="Arial" w:cs="Arial"/>
          <w:lang w:eastAsia="en-IN"/>
        </w:rPr>
        <w:t>difficile</w:t>
      </w:r>
      <w:proofErr w:type="spellEnd"/>
      <w:r w:rsidRPr="00800048">
        <w:rPr>
          <w:rFonts w:ascii="Arial" w:eastAsia="Times New Roman" w:hAnsi="Arial" w:cs="Arial"/>
          <w:lang w:eastAsia="en-IN"/>
        </w:rPr>
        <w:t>. CDAD must be considered in all patients who present with diarrhoea following antibiotic use. Careful medical history is necessary since CDAD has been reported to occur over two months after the administration of antibacterial agents.</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 xml:space="preserve">As with other macrolides, rare serious allergic reactions, including acute generalised </w:t>
      </w:r>
      <w:proofErr w:type="spellStart"/>
      <w:r w:rsidRPr="00800048">
        <w:rPr>
          <w:rFonts w:ascii="Arial" w:eastAsia="Times New Roman" w:hAnsi="Arial" w:cs="Arial"/>
          <w:lang w:eastAsia="en-IN"/>
        </w:rPr>
        <w:t>exanthematous</w:t>
      </w:r>
      <w:proofErr w:type="spellEnd"/>
      <w:r w:rsidRPr="00800048">
        <w:rPr>
          <w:rFonts w:ascii="Arial" w:eastAsia="Times New Roman" w:hAnsi="Arial" w:cs="Arial"/>
          <w:lang w:eastAsia="en-IN"/>
        </w:rPr>
        <w:t xml:space="preserve"> </w:t>
      </w:r>
      <w:proofErr w:type="spellStart"/>
      <w:r w:rsidRPr="00800048">
        <w:rPr>
          <w:rFonts w:ascii="Arial" w:eastAsia="Times New Roman" w:hAnsi="Arial" w:cs="Arial"/>
          <w:lang w:eastAsia="en-IN"/>
        </w:rPr>
        <w:t>pustulosis</w:t>
      </w:r>
      <w:proofErr w:type="spellEnd"/>
      <w:r w:rsidRPr="00800048">
        <w:rPr>
          <w:rFonts w:ascii="Arial" w:eastAsia="Times New Roman" w:hAnsi="Arial" w:cs="Arial"/>
          <w:lang w:eastAsia="en-IN"/>
        </w:rPr>
        <w:t xml:space="preserve"> (AGEP) have been reported. If an allergic reaction occurs, the drug should be discontinued and appropriate therapy should be instituted. Physicians should be aware that reappearance of the allergic symptoms may occur when symptomatic therapy is discontinued.</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Patients receiving erythromycin concurrently with drugs which can cause prolongation of the QT interval should be carefully monitored. The concomitant use of erythromycin with some of these drugs is contraindicated (See sections 4.3 &amp; 4.5)</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There have been reports suggesting erythromycin does not reach the foetus in adequate concentrations to prevent congenital syphilis. Infants born to women treated during pregnancy with oral erythromycin for early syphilis should be treated with an appropriate penicillin regimen.</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There have been reports that erythromycin may aggravate the weakness of patients with myasthenia gravis.</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 xml:space="preserve">Erythromycin interferes with the </w:t>
      </w:r>
      <w:proofErr w:type="spellStart"/>
      <w:r w:rsidRPr="00800048">
        <w:rPr>
          <w:rFonts w:ascii="Arial" w:eastAsia="Times New Roman" w:hAnsi="Arial" w:cs="Arial"/>
          <w:lang w:eastAsia="en-IN"/>
        </w:rPr>
        <w:t>fluorometric</w:t>
      </w:r>
      <w:proofErr w:type="spellEnd"/>
      <w:r w:rsidRPr="00800048">
        <w:rPr>
          <w:rFonts w:ascii="Arial" w:eastAsia="Times New Roman" w:hAnsi="Arial" w:cs="Arial"/>
          <w:lang w:eastAsia="en-IN"/>
        </w:rPr>
        <w:t xml:space="preserve"> determination of urinary </w:t>
      </w:r>
      <w:proofErr w:type="spellStart"/>
      <w:r w:rsidRPr="00800048">
        <w:rPr>
          <w:rFonts w:ascii="Arial" w:eastAsia="Times New Roman" w:hAnsi="Arial" w:cs="Arial"/>
          <w:lang w:eastAsia="en-IN"/>
        </w:rPr>
        <w:t>catecholamines</w:t>
      </w:r>
      <w:proofErr w:type="spellEnd"/>
      <w:r w:rsidRPr="00800048">
        <w:rPr>
          <w:rFonts w:ascii="Arial" w:eastAsia="Times New Roman" w:hAnsi="Arial" w:cs="Arial"/>
          <w:lang w:eastAsia="en-IN"/>
        </w:rPr>
        <w:t>.</w:t>
      </w:r>
    </w:p>
    <w:p w:rsidR="00800048" w:rsidRPr="00800048" w:rsidRDefault="00800048" w:rsidP="00800048">
      <w:pPr>
        <w:spacing w:after="143" w:line="240" w:lineRule="auto"/>
        <w:rPr>
          <w:rFonts w:ascii="Arial" w:eastAsia="Times New Roman" w:hAnsi="Arial" w:cs="Arial"/>
          <w:lang w:eastAsia="en-IN"/>
        </w:rPr>
      </w:pPr>
      <w:proofErr w:type="spellStart"/>
      <w:r w:rsidRPr="00800048">
        <w:rPr>
          <w:rFonts w:ascii="Arial" w:eastAsia="Times New Roman" w:hAnsi="Arial" w:cs="Arial"/>
          <w:lang w:eastAsia="en-IN"/>
        </w:rPr>
        <w:t>Rhabdomyolysis</w:t>
      </w:r>
      <w:proofErr w:type="spellEnd"/>
      <w:r w:rsidRPr="00800048">
        <w:rPr>
          <w:rFonts w:ascii="Arial" w:eastAsia="Times New Roman" w:hAnsi="Arial" w:cs="Arial"/>
          <w:lang w:eastAsia="en-IN"/>
        </w:rPr>
        <w:t xml:space="preserve"> with or without renal impairment has been reported in seriously ill patients receiving erythromycin concomitantly with statins.</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 xml:space="preserve">There have been reports of infantile hypertrophic pyloric stenosis (IHPS) occurring in infants following erythromycin therapy. In one cohort of 157 </w:t>
      </w:r>
      <w:proofErr w:type="spellStart"/>
      <w:r w:rsidRPr="00800048">
        <w:rPr>
          <w:rFonts w:ascii="Arial" w:eastAsia="Times New Roman" w:hAnsi="Arial" w:cs="Arial"/>
          <w:lang w:eastAsia="en-IN"/>
        </w:rPr>
        <w:t>newborns</w:t>
      </w:r>
      <w:proofErr w:type="spellEnd"/>
      <w:r w:rsidRPr="00800048">
        <w:rPr>
          <w:rFonts w:ascii="Arial" w:eastAsia="Times New Roman" w:hAnsi="Arial" w:cs="Arial"/>
          <w:lang w:eastAsia="en-IN"/>
        </w:rPr>
        <w:t xml:space="preserve"> who were given erythromycin for pertussis prophylaxis, seven neonates (5%) developed symptoms of non-bilious vomiting or irritability with feeding and were subsequently diagnosed as having IHPS requiring surgical </w:t>
      </w:r>
      <w:proofErr w:type="spellStart"/>
      <w:r w:rsidRPr="00800048">
        <w:rPr>
          <w:rFonts w:ascii="Arial" w:eastAsia="Times New Roman" w:hAnsi="Arial" w:cs="Arial"/>
          <w:lang w:eastAsia="en-IN"/>
        </w:rPr>
        <w:t>pyloromyotomy</w:t>
      </w:r>
      <w:proofErr w:type="spellEnd"/>
      <w:r w:rsidRPr="00800048">
        <w:rPr>
          <w:rFonts w:ascii="Arial" w:eastAsia="Times New Roman" w:hAnsi="Arial" w:cs="Arial"/>
          <w:lang w:eastAsia="en-IN"/>
        </w:rPr>
        <w:t xml:space="preserve">. Since erythromycin may be used in the treatment of conditions in infants which are associated with significant mortality or morbidity (such as pertussis or chlamydia), the benefit of erythromycin therapy needs to be weighed against the potential </w:t>
      </w:r>
      <w:r w:rsidRPr="00800048">
        <w:rPr>
          <w:rFonts w:ascii="Arial" w:eastAsia="Times New Roman" w:hAnsi="Arial" w:cs="Arial"/>
          <w:lang w:eastAsia="en-IN"/>
        </w:rPr>
        <w:lastRenderedPageBreak/>
        <w:t>risk of developing IHPS. Parents should be informed to contact their physician if vomiting or irritability with feeding occurs.</w:t>
      </w:r>
    </w:p>
    <w:p w:rsidR="00800048" w:rsidRPr="00800048" w:rsidRDefault="00800048" w:rsidP="00800048">
      <w:pPr>
        <w:spacing w:after="0" w:line="240" w:lineRule="auto"/>
        <w:rPr>
          <w:rFonts w:ascii="Arial" w:eastAsia="Times New Roman" w:hAnsi="Arial" w:cs="Arial"/>
          <w:b/>
          <w:bCs/>
          <w:color w:val="000000"/>
          <w:sz w:val="20"/>
          <w:szCs w:val="20"/>
          <w:lang w:eastAsia="en-IN"/>
        </w:rPr>
      </w:pPr>
      <w:r w:rsidRPr="00800048">
        <w:rPr>
          <w:rFonts w:ascii="Arial" w:eastAsia="Times New Roman" w:hAnsi="Arial" w:cs="Arial"/>
          <w:b/>
          <w:bCs/>
          <w:color w:val="000000"/>
          <w:sz w:val="20"/>
          <w:szCs w:val="20"/>
          <w:lang w:eastAsia="en-IN"/>
        </w:rPr>
        <w:t>4.5 Interaction with other medicinal products and other forms of interaction</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 xml:space="preserve">Increases in serum concentrations of the following drugs metabolised by the cytochrome P450 system may occur : when administered concurrently with erythromycin: </w:t>
      </w:r>
      <w:proofErr w:type="spellStart"/>
      <w:r w:rsidRPr="00800048">
        <w:rPr>
          <w:rFonts w:ascii="Arial" w:eastAsia="Times New Roman" w:hAnsi="Arial" w:cs="Arial"/>
          <w:lang w:eastAsia="en-IN"/>
        </w:rPr>
        <w:t>acenocoumarol</w:t>
      </w:r>
      <w:proofErr w:type="spellEnd"/>
      <w:r w:rsidRPr="00800048">
        <w:rPr>
          <w:rFonts w:ascii="Arial" w:eastAsia="Times New Roman" w:hAnsi="Arial" w:cs="Arial"/>
          <w:lang w:eastAsia="en-IN"/>
        </w:rPr>
        <w:t xml:space="preserve">, </w:t>
      </w:r>
      <w:proofErr w:type="spellStart"/>
      <w:r w:rsidRPr="00800048">
        <w:rPr>
          <w:rFonts w:ascii="Arial" w:eastAsia="Times New Roman" w:hAnsi="Arial" w:cs="Arial"/>
          <w:lang w:eastAsia="en-IN"/>
        </w:rPr>
        <w:t>alfentanil</w:t>
      </w:r>
      <w:proofErr w:type="spellEnd"/>
      <w:r w:rsidRPr="00800048">
        <w:rPr>
          <w:rFonts w:ascii="Arial" w:eastAsia="Times New Roman" w:hAnsi="Arial" w:cs="Arial"/>
          <w:lang w:eastAsia="en-IN"/>
        </w:rPr>
        <w:t xml:space="preserve">, </w:t>
      </w:r>
      <w:proofErr w:type="spellStart"/>
      <w:r w:rsidRPr="00800048">
        <w:rPr>
          <w:rFonts w:ascii="Arial" w:eastAsia="Times New Roman" w:hAnsi="Arial" w:cs="Arial"/>
          <w:lang w:eastAsia="en-IN"/>
        </w:rPr>
        <w:t>astemizole</w:t>
      </w:r>
      <w:proofErr w:type="spellEnd"/>
      <w:r w:rsidRPr="00800048">
        <w:rPr>
          <w:rFonts w:ascii="Arial" w:eastAsia="Times New Roman" w:hAnsi="Arial" w:cs="Arial"/>
          <w:lang w:eastAsia="en-IN"/>
        </w:rPr>
        <w:t xml:space="preserve">, </w:t>
      </w:r>
      <w:proofErr w:type="spellStart"/>
      <w:r w:rsidRPr="00800048">
        <w:rPr>
          <w:rFonts w:ascii="Arial" w:eastAsia="Times New Roman" w:hAnsi="Arial" w:cs="Arial"/>
          <w:lang w:eastAsia="en-IN"/>
        </w:rPr>
        <w:t>bromocriptine</w:t>
      </w:r>
      <w:proofErr w:type="spellEnd"/>
      <w:r w:rsidRPr="00800048">
        <w:rPr>
          <w:rFonts w:ascii="Arial" w:eastAsia="Times New Roman" w:hAnsi="Arial" w:cs="Arial"/>
          <w:lang w:eastAsia="en-IN"/>
        </w:rPr>
        <w:t xml:space="preserve">, carbamazepine, </w:t>
      </w:r>
      <w:proofErr w:type="spellStart"/>
      <w:r w:rsidRPr="00800048">
        <w:rPr>
          <w:rFonts w:ascii="Arial" w:eastAsia="Times New Roman" w:hAnsi="Arial" w:cs="Arial"/>
          <w:lang w:eastAsia="en-IN"/>
        </w:rPr>
        <w:t>cilostazol</w:t>
      </w:r>
      <w:proofErr w:type="spellEnd"/>
      <w:r w:rsidRPr="00800048">
        <w:rPr>
          <w:rFonts w:ascii="Arial" w:eastAsia="Times New Roman" w:hAnsi="Arial" w:cs="Arial"/>
          <w:lang w:eastAsia="en-IN"/>
        </w:rPr>
        <w:t xml:space="preserve">, </w:t>
      </w:r>
      <w:proofErr w:type="spellStart"/>
      <w:r w:rsidRPr="00800048">
        <w:rPr>
          <w:rFonts w:ascii="Arial" w:eastAsia="Times New Roman" w:hAnsi="Arial" w:cs="Arial"/>
          <w:lang w:eastAsia="en-IN"/>
        </w:rPr>
        <w:t>cyclosporin</w:t>
      </w:r>
      <w:proofErr w:type="spellEnd"/>
      <w:r w:rsidRPr="00800048">
        <w:rPr>
          <w:rFonts w:ascii="Arial" w:eastAsia="Times New Roman" w:hAnsi="Arial" w:cs="Arial"/>
          <w:lang w:eastAsia="en-IN"/>
        </w:rPr>
        <w:t xml:space="preserve">, digoxin, </w:t>
      </w:r>
      <w:proofErr w:type="spellStart"/>
      <w:r w:rsidRPr="00800048">
        <w:rPr>
          <w:rFonts w:ascii="Arial" w:eastAsia="Times New Roman" w:hAnsi="Arial" w:cs="Arial"/>
          <w:lang w:eastAsia="en-IN"/>
        </w:rPr>
        <w:t>dihydroergotamine</w:t>
      </w:r>
      <w:proofErr w:type="spellEnd"/>
      <w:r w:rsidRPr="00800048">
        <w:rPr>
          <w:rFonts w:ascii="Arial" w:eastAsia="Times New Roman" w:hAnsi="Arial" w:cs="Arial"/>
          <w:lang w:eastAsia="en-IN"/>
        </w:rPr>
        <w:t xml:space="preserve">, </w:t>
      </w:r>
      <w:proofErr w:type="spellStart"/>
      <w:r w:rsidRPr="00800048">
        <w:rPr>
          <w:rFonts w:ascii="Arial" w:eastAsia="Times New Roman" w:hAnsi="Arial" w:cs="Arial"/>
          <w:lang w:eastAsia="en-IN"/>
        </w:rPr>
        <w:t>disopyramide</w:t>
      </w:r>
      <w:proofErr w:type="spellEnd"/>
      <w:r w:rsidRPr="00800048">
        <w:rPr>
          <w:rFonts w:ascii="Arial" w:eastAsia="Times New Roman" w:hAnsi="Arial" w:cs="Arial"/>
          <w:lang w:eastAsia="en-IN"/>
        </w:rPr>
        <w:t xml:space="preserve">, ergotamine, </w:t>
      </w:r>
      <w:proofErr w:type="spellStart"/>
      <w:r w:rsidRPr="00800048">
        <w:rPr>
          <w:rFonts w:ascii="Arial" w:eastAsia="Times New Roman" w:hAnsi="Arial" w:cs="Arial"/>
          <w:lang w:eastAsia="en-IN"/>
        </w:rPr>
        <w:t>hexobarbitone</w:t>
      </w:r>
      <w:proofErr w:type="spellEnd"/>
      <w:r w:rsidRPr="00800048">
        <w:rPr>
          <w:rFonts w:ascii="Arial" w:eastAsia="Times New Roman" w:hAnsi="Arial" w:cs="Arial"/>
          <w:lang w:eastAsia="en-IN"/>
        </w:rPr>
        <w:t xml:space="preserve">, methylprednisolone, midazolam, omeprazole, phenytoin, quinidine, </w:t>
      </w:r>
      <w:proofErr w:type="spellStart"/>
      <w:r w:rsidRPr="00800048">
        <w:rPr>
          <w:rFonts w:ascii="Arial" w:eastAsia="Times New Roman" w:hAnsi="Arial" w:cs="Arial"/>
          <w:lang w:eastAsia="en-IN"/>
        </w:rPr>
        <w:t>rifabutin</w:t>
      </w:r>
      <w:proofErr w:type="spellEnd"/>
      <w:r w:rsidRPr="00800048">
        <w:rPr>
          <w:rFonts w:ascii="Arial" w:eastAsia="Times New Roman" w:hAnsi="Arial" w:cs="Arial"/>
          <w:i/>
          <w:iCs/>
          <w:u w:val="single"/>
          <w:lang w:eastAsia="en-IN"/>
        </w:rPr>
        <w:t>,</w:t>
      </w:r>
      <w:r w:rsidRPr="00800048">
        <w:rPr>
          <w:rFonts w:ascii="Arial" w:eastAsia="Times New Roman" w:hAnsi="Arial" w:cs="Arial"/>
          <w:lang w:eastAsia="en-IN"/>
        </w:rPr>
        <w:t xml:space="preserve"> sildenafil, </w:t>
      </w:r>
      <w:proofErr w:type="spellStart"/>
      <w:r w:rsidRPr="00800048">
        <w:rPr>
          <w:rFonts w:ascii="Arial" w:eastAsia="Times New Roman" w:hAnsi="Arial" w:cs="Arial"/>
          <w:lang w:eastAsia="en-IN"/>
        </w:rPr>
        <w:t>tacrolimus</w:t>
      </w:r>
      <w:proofErr w:type="spellEnd"/>
      <w:r w:rsidRPr="00800048">
        <w:rPr>
          <w:rFonts w:ascii="Arial" w:eastAsia="Times New Roman" w:hAnsi="Arial" w:cs="Arial"/>
          <w:lang w:eastAsia="en-IN"/>
        </w:rPr>
        <w:t xml:space="preserve">, </w:t>
      </w:r>
      <w:proofErr w:type="spellStart"/>
      <w:r w:rsidRPr="00800048">
        <w:rPr>
          <w:rFonts w:ascii="Arial" w:eastAsia="Times New Roman" w:hAnsi="Arial" w:cs="Arial"/>
          <w:lang w:eastAsia="en-IN"/>
        </w:rPr>
        <w:t>terfenadine</w:t>
      </w:r>
      <w:proofErr w:type="spellEnd"/>
      <w:r w:rsidRPr="00800048">
        <w:rPr>
          <w:rFonts w:ascii="Arial" w:eastAsia="Times New Roman" w:hAnsi="Arial" w:cs="Arial"/>
          <w:lang w:eastAsia="en-IN"/>
        </w:rPr>
        <w:t xml:space="preserve">, </w:t>
      </w:r>
      <w:proofErr w:type="spellStart"/>
      <w:r w:rsidRPr="00800048">
        <w:rPr>
          <w:rFonts w:ascii="Arial" w:eastAsia="Times New Roman" w:hAnsi="Arial" w:cs="Arial"/>
          <w:lang w:eastAsia="en-IN"/>
        </w:rPr>
        <w:t>domperidone</w:t>
      </w:r>
      <w:proofErr w:type="spellEnd"/>
      <w:r w:rsidRPr="00800048">
        <w:rPr>
          <w:rFonts w:ascii="Arial" w:eastAsia="Times New Roman" w:hAnsi="Arial" w:cs="Arial"/>
          <w:lang w:eastAsia="en-IN"/>
        </w:rPr>
        <w:t xml:space="preserve">, theophylline, </w:t>
      </w:r>
      <w:proofErr w:type="spellStart"/>
      <w:r w:rsidRPr="00800048">
        <w:rPr>
          <w:rFonts w:ascii="Arial" w:eastAsia="Times New Roman" w:hAnsi="Arial" w:cs="Arial"/>
          <w:lang w:eastAsia="en-IN"/>
        </w:rPr>
        <w:t>triazolam</w:t>
      </w:r>
      <w:proofErr w:type="spellEnd"/>
      <w:r w:rsidRPr="00800048">
        <w:rPr>
          <w:rFonts w:ascii="Arial" w:eastAsia="Times New Roman" w:hAnsi="Arial" w:cs="Arial"/>
          <w:lang w:eastAsia="en-IN"/>
        </w:rPr>
        <w:t xml:space="preserve">, valproate, vinblastine, and antifungals </w:t>
      </w:r>
      <w:proofErr w:type="spellStart"/>
      <w:r w:rsidRPr="00800048">
        <w:rPr>
          <w:rFonts w:ascii="Arial" w:eastAsia="Times New Roman" w:hAnsi="Arial" w:cs="Arial"/>
          <w:lang w:eastAsia="en-IN"/>
        </w:rPr>
        <w:t>e.g</w:t>
      </w:r>
      <w:proofErr w:type="spellEnd"/>
      <w:r w:rsidRPr="00800048">
        <w:rPr>
          <w:rFonts w:ascii="Arial" w:eastAsia="Times New Roman" w:hAnsi="Arial" w:cs="Arial"/>
          <w:lang w:eastAsia="en-IN"/>
        </w:rPr>
        <w:t xml:space="preserve"> fluconazole, ketoconazole and </w:t>
      </w:r>
      <w:proofErr w:type="spellStart"/>
      <w:r w:rsidRPr="00800048">
        <w:rPr>
          <w:rFonts w:ascii="Arial" w:eastAsia="Times New Roman" w:hAnsi="Arial" w:cs="Arial"/>
          <w:lang w:eastAsia="en-IN"/>
        </w:rPr>
        <w:t>itraconazole</w:t>
      </w:r>
      <w:proofErr w:type="spellEnd"/>
      <w:r w:rsidRPr="00800048">
        <w:rPr>
          <w:rFonts w:ascii="Arial" w:eastAsia="Times New Roman" w:hAnsi="Arial" w:cs="Arial"/>
          <w:lang w:eastAsia="en-IN"/>
        </w:rPr>
        <w:t xml:space="preserve">. Appropriate monitoring should be undertaken and dosage should be adjusted as necessary. Particular care should be taken with medications known to prolong the </w:t>
      </w:r>
      <w:proofErr w:type="spellStart"/>
      <w:r w:rsidRPr="00800048">
        <w:rPr>
          <w:rFonts w:ascii="Arial" w:eastAsia="Times New Roman" w:hAnsi="Arial" w:cs="Arial"/>
          <w:lang w:eastAsia="en-IN"/>
        </w:rPr>
        <w:t>QTc</w:t>
      </w:r>
      <w:proofErr w:type="spellEnd"/>
      <w:r w:rsidRPr="00800048">
        <w:rPr>
          <w:rFonts w:ascii="Arial" w:eastAsia="Times New Roman" w:hAnsi="Arial" w:cs="Arial"/>
          <w:lang w:eastAsia="en-IN"/>
        </w:rPr>
        <w:t xml:space="preserve"> interval of the electrocardiogram.</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 xml:space="preserve">Drugs that induce CYP3A4 (such as rifampicin, phenytoin, carbamazepine, phenobarbital, St John's </w:t>
      </w:r>
      <w:proofErr w:type="spellStart"/>
      <w:r w:rsidRPr="00800048">
        <w:rPr>
          <w:rFonts w:ascii="Arial" w:eastAsia="Times New Roman" w:hAnsi="Arial" w:cs="Arial"/>
          <w:lang w:eastAsia="en-IN"/>
        </w:rPr>
        <w:t>Wort</w:t>
      </w:r>
      <w:proofErr w:type="spellEnd"/>
      <w:r w:rsidRPr="00800048">
        <w:rPr>
          <w:rFonts w:ascii="Arial" w:eastAsia="Times New Roman" w:hAnsi="Arial" w:cs="Arial"/>
          <w:lang w:eastAsia="en-IN"/>
        </w:rPr>
        <w:t>) may induce the metabolism of erythromycin. This may lead to sub-therapeutic levels of erythromycin and a decreased effect. The induction decreases gradually during two weeks after discontinued treatment with CYP3A4 inducers. Erythromycin should not be used during and two weeks after treatment with CYP3A4 inducers.</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 xml:space="preserve">HMG-CoA </w:t>
      </w:r>
      <w:proofErr w:type="spellStart"/>
      <w:r w:rsidRPr="00800048">
        <w:rPr>
          <w:rFonts w:ascii="Arial" w:eastAsia="Times New Roman" w:hAnsi="Arial" w:cs="Arial"/>
          <w:lang w:eastAsia="en-IN"/>
        </w:rPr>
        <w:t>Reductase</w:t>
      </w:r>
      <w:proofErr w:type="spellEnd"/>
      <w:r w:rsidRPr="00800048">
        <w:rPr>
          <w:rFonts w:ascii="Arial" w:eastAsia="Times New Roman" w:hAnsi="Arial" w:cs="Arial"/>
          <w:lang w:eastAsia="en-IN"/>
        </w:rPr>
        <w:t xml:space="preserve"> Inhibitors: erythromycin has been reported to increase concentrations of HMG-CoA </w:t>
      </w:r>
      <w:proofErr w:type="spellStart"/>
      <w:r w:rsidRPr="00800048">
        <w:rPr>
          <w:rFonts w:ascii="Arial" w:eastAsia="Times New Roman" w:hAnsi="Arial" w:cs="Arial"/>
          <w:lang w:eastAsia="en-IN"/>
        </w:rPr>
        <w:t>reductase</w:t>
      </w:r>
      <w:proofErr w:type="spellEnd"/>
      <w:r w:rsidRPr="00800048">
        <w:rPr>
          <w:rFonts w:ascii="Arial" w:eastAsia="Times New Roman" w:hAnsi="Arial" w:cs="Arial"/>
          <w:lang w:eastAsia="en-IN"/>
        </w:rPr>
        <w:t xml:space="preserve"> inhibitors (e.g. lovastatin and simvastatin). Rare reports of </w:t>
      </w:r>
      <w:proofErr w:type="spellStart"/>
      <w:r w:rsidRPr="00800048">
        <w:rPr>
          <w:rFonts w:ascii="Arial" w:eastAsia="Times New Roman" w:hAnsi="Arial" w:cs="Arial"/>
          <w:lang w:eastAsia="en-IN"/>
        </w:rPr>
        <w:t>rhabdomyolysis</w:t>
      </w:r>
      <w:proofErr w:type="spellEnd"/>
      <w:r w:rsidRPr="00800048">
        <w:rPr>
          <w:rFonts w:ascii="Arial" w:eastAsia="Times New Roman" w:hAnsi="Arial" w:cs="Arial"/>
          <w:lang w:eastAsia="en-IN"/>
        </w:rPr>
        <w:t xml:space="preserve"> have been reported in patients taking these drugs concomitantly.</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Contraceptives: some antibiotics may in rare cases decrease the effect of contraceptive pills by interfering with the bacterial hydrolysis of steroid conjugates in the intestine and thereby reabsorption of unconjugated steroid. As a result of this plasma levels of active steroid may decrease.</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 xml:space="preserve">Antihistamine H1 antagonists: care should be taken in the </w:t>
      </w:r>
      <w:proofErr w:type="spellStart"/>
      <w:r w:rsidRPr="00800048">
        <w:rPr>
          <w:rFonts w:ascii="Arial" w:eastAsia="Times New Roman" w:hAnsi="Arial" w:cs="Arial"/>
          <w:lang w:eastAsia="en-IN"/>
        </w:rPr>
        <w:t>coadministration</w:t>
      </w:r>
      <w:proofErr w:type="spellEnd"/>
      <w:r w:rsidRPr="00800048">
        <w:rPr>
          <w:rFonts w:ascii="Arial" w:eastAsia="Times New Roman" w:hAnsi="Arial" w:cs="Arial"/>
          <w:lang w:eastAsia="en-IN"/>
        </w:rPr>
        <w:t xml:space="preserve"> of erythromycin with H1 antagonists such as </w:t>
      </w:r>
      <w:proofErr w:type="spellStart"/>
      <w:r w:rsidRPr="00800048">
        <w:rPr>
          <w:rFonts w:ascii="Arial" w:eastAsia="Times New Roman" w:hAnsi="Arial" w:cs="Arial"/>
          <w:lang w:eastAsia="en-IN"/>
        </w:rPr>
        <w:t>terfenadine</w:t>
      </w:r>
      <w:proofErr w:type="spellEnd"/>
      <w:r w:rsidRPr="00800048">
        <w:rPr>
          <w:rFonts w:ascii="Arial" w:eastAsia="Times New Roman" w:hAnsi="Arial" w:cs="Arial"/>
          <w:lang w:eastAsia="en-IN"/>
        </w:rPr>
        <w:t xml:space="preserve">, </w:t>
      </w:r>
      <w:proofErr w:type="spellStart"/>
      <w:r w:rsidRPr="00800048">
        <w:rPr>
          <w:rFonts w:ascii="Arial" w:eastAsia="Times New Roman" w:hAnsi="Arial" w:cs="Arial"/>
          <w:lang w:eastAsia="en-IN"/>
        </w:rPr>
        <w:t>astemizole</w:t>
      </w:r>
      <w:proofErr w:type="spellEnd"/>
      <w:r w:rsidRPr="00800048">
        <w:rPr>
          <w:rFonts w:ascii="Arial" w:eastAsia="Times New Roman" w:hAnsi="Arial" w:cs="Arial"/>
          <w:lang w:eastAsia="en-IN"/>
        </w:rPr>
        <w:t xml:space="preserve"> and </w:t>
      </w:r>
      <w:proofErr w:type="spellStart"/>
      <w:r w:rsidRPr="00800048">
        <w:rPr>
          <w:rFonts w:ascii="Arial" w:eastAsia="Times New Roman" w:hAnsi="Arial" w:cs="Arial"/>
          <w:lang w:eastAsia="en-IN"/>
        </w:rPr>
        <w:t>mizolastine</w:t>
      </w:r>
      <w:proofErr w:type="spellEnd"/>
      <w:r w:rsidRPr="00800048">
        <w:rPr>
          <w:rFonts w:ascii="Arial" w:eastAsia="Times New Roman" w:hAnsi="Arial" w:cs="Arial"/>
          <w:lang w:eastAsia="en-IN"/>
        </w:rPr>
        <w:t xml:space="preserve"> due to the alteration of their metabolism by erythromycin.</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 xml:space="preserve">Erythromycin significantly alters the metabolism of </w:t>
      </w:r>
      <w:proofErr w:type="spellStart"/>
      <w:r w:rsidRPr="00800048">
        <w:rPr>
          <w:rFonts w:ascii="Arial" w:eastAsia="Times New Roman" w:hAnsi="Arial" w:cs="Arial"/>
          <w:lang w:eastAsia="en-IN"/>
        </w:rPr>
        <w:t>terfenadine</w:t>
      </w:r>
      <w:proofErr w:type="spellEnd"/>
      <w:r w:rsidRPr="00800048">
        <w:rPr>
          <w:rFonts w:ascii="Arial" w:eastAsia="Times New Roman" w:hAnsi="Arial" w:cs="Arial"/>
          <w:lang w:eastAsia="en-IN"/>
        </w:rPr>
        <w:t xml:space="preserve">, </w:t>
      </w:r>
      <w:proofErr w:type="spellStart"/>
      <w:r w:rsidRPr="00800048">
        <w:rPr>
          <w:rFonts w:ascii="Arial" w:eastAsia="Times New Roman" w:hAnsi="Arial" w:cs="Arial"/>
          <w:lang w:eastAsia="en-IN"/>
        </w:rPr>
        <w:t>astemizole</w:t>
      </w:r>
      <w:proofErr w:type="spellEnd"/>
      <w:r w:rsidRPr="00800048">
        <w:rPr>
          <w:rFonts w:ascii="Arial" w:eastAsia="Times New Roman" w:hAnsi="Arial" w:cs="Arial"/>
          <w:lang w:eastAsia="en-IN"/>
        </w:rPr>
        <w:t xml:space="preserve"> and </w:t>
      </w:r>
      <w:proofErr w:type="spellStart"/>
      <w:r w:rsidRPr="00800048">
        <w:rPr>
          <w:rFonts w:ascii="Arial" w:eastAsia="Times New Roman" w:hAnsi="Arial" w:cs="Arial"/>
          <w:lang w:eastAsia="en-IN"/>
        </w:rPr>
        <w:t>pimozide</w:t>
      </w:r>
      <w:proofErr w:type="spellEnd"/>
      <w:r w:rsidRPr="00800048">
        <w:rPr>
          <w:rFonts w:ascii="Arial" w:eastAsia="Times New Roman" w:hAnsi="Arial" w:cs="Arial"/>
          <w:lang w:eastAsia="en-IN"/>
        </w:rPr>
        <w:t xml:space="preserve"> when taken concomitantly. Rare cases of serious, potentially fatal, cardiovascular events including cardiac arrest, torsade de pointes and other ventricular arrhythmias have been observed (see sections 4.3 and 4.8).</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Anti-bacterial agents: an </w:t>
      </w:r>
      <w:r w:rsidRPr="00800048">
        <w:rPr>
          <w:rFonts w:ascii="Arial" w:eastAsia="Times New Roman" w:hAnsi="Arial" w:cs="Arial"/>
          <w:i/>
          <w:iCs/>
          <w:lang w:eastAsia="en-IN"/>
        </w:rPr>
        <w:t>in vitro</w:t>
      </w:r>
      <w:r w:rsidRPr="00800048">
        <w:rPr>
          <w:rFonts w:ascii="Arial" w:eastAsia="Times New Roman" w:hAnsi="Arial" w:cs="Arial"/>
          <w:lang w:eastAsia="en-IN"/>
        </w:rPr>
        <w:t xml:space="preserve"> antagonism exists between erythromycin and the bactericidal beta-lactam antibiotics (e.g. penicillin, cephalosporin). Erythromycin antagonises the action of clindamycin, </w:t>
      </w:r>
      <w:proofErr w:type="spellStart"/>
      <w:r w:rsidRPr="00800048">
        <w:rPr>
          <w:rFonts w:ascii="Arial" w:eastAsia="Times New Roman" w:hAnsi="Arial" w:cs="Arial"/>
          <w:lang w:eastAsia="en-IN"/>
        </w:rPr>
        <w:t>lincomycin</w:t>
      </w:r>
      <w:proofErr w:type="spellEnd"/>
      <w:r w:rsidRPr="00800048">
        <w:rPr>
          <w:rFonts w:ascii="Arial" w:eastAsia="Times New Roman" w:hAnsi="Arial" w:cs="Arial"/>
          <w:lang w:eastAsia="en-IN"/>
        </w:rPr>
        <w:t xml:space="preserve"> and chloramphenicol. The same applies for streptomycin, </w:t>
      </w:r>
      <w:proofErr w:type="spellStart"/>
      <w:r w:rsidRPr="00800048">
        <w:rPr>
          <w:rFonts w:ascii="Arial" w:eastAsia="Times New Roman" w:hAnsi="Arial" w:cs="Arial"/>
          <w:lang w:eastAsia="en-IN"/>
        </w:rPr>
        <w:t>tetracyclines</w:t>
      </w:r>
      <w:proofErr w:type="spellEnd"/>
      <w:r w:rsidRPr="00800048">
        <w:rPr>
          <w:rFonts w:ascii="Arial" w:eastAsia="Times New Roman" w:hAnsi="Arial" w:cs="Arial"/>
          <w:lang w:eastAsia="en-IN"/>
        </w:rPr>
        <w:t xml:space="preserve"> and </w:t>
      </w:r>
      <w:proofErr w:type="spellStart"/>
      <w:r w:rsidRPr="00800048">
        <w:rPr>
          <w:rFonts w:ascii="Arial" w:eastAsia="Times New Roman" w:hAnsi="Arial" w:cs="Arial"/>
          <w:lang w:eastAsia="en-IN"/>
        </w:rPr>
        <w:t>colistin</w:t>
      </w:r>
      <w:proofErr w:type="spellEnd"/>
      <w:r w:rsidRPr="00800048">
        <w:rPr>
          <w:rFonts w:ascii="Arial" w:eastAsia="Times New Roman" w:hAnsi="Arial" w:cs="Arial"/>
          <w:lang w:eastAsia="en-IN"/>
        </w:rPr>
        <w:t>.</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Protease inhibitors: in concomitant administration of erythromycin and protease inhibitors, an inhibition of the decomposition of erythromycin has been observed.</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Oral anticoagulants: there have been reports of increased anticoagulant effects when erythromycin and oral anticoagulants (e.g. warfarin) are used concomitantly.</w:t>
      </w:r>
    </w:p>
    <w:p w:rsidR="00800048" w:rsidRPr="00800048" w:rsidRDefault="00800048" w:rsidP="00800048">
      <w:pPr>
        <w:spacing w:after="143" w:line="240" w:lineRule="auto"/>
        <w:rPr>
          <w:rFonts w:ascii="Arial" w:eastAsia="Times New Roman" w:hAnsi="Arial" w:cs="Arial"/>
          <w:lang w:eastAsia="en-IN"/>
        </w:rPr>
      </w:pPr>
      <w:proofErr w:type="spellStart"/>
      <w:r w:rsidRPr="00800048">
        <w:rPr>
          <w:rFonts w:ascii="Arial" w:eastAsia="Times New Roman" w:hAnsi="Arial" w:cs="Arial"/>
          <w:lang w:eastAsia="en-IN"/>
        </w:rPr>
        <w:t>Triazolobenzodiazepines</w:t>
      </w:r>
      <w:proofErr w:type="spellEnd"/>
      <w:r w:rsidRPr="00800048">
        <w:rPr>
          <w:rFonts w:ascii="Arial" w:eastAsia="Times New Roman" w:hAnsi="Arial" w:cs="Arial"/>
          <w:lang w:eastAsia="en-IN"/>
        </w:rPr>
        <w:t xml:space="preserve"> (such as </w:t>
      </w:r>
      <w:proofErr w:type="spellStart"/>
      <w:r w:rsidRPr="00800048">
        <w:rPr>
          <w:rFonts w:ascii="Arial" w:eastAsia="Times New Roman" w:hAnsi="Arial" w:cs="Arial"/>
          <w:lang w:eastAsia="en-IN"/>
        </w:rPr>
        <w:t>triazolam</w:t>
      </w:r>
      <w:proofErr w:type="spellEnd"/>
      <w:r w:rsidRPr="00800048">
        <w:rPr>
          <w:rFonts w:ascii="Arial" w:eastAsia="Times New Roman" w:hAnsi="Arial" w:cs="Arial"/>
          <w:lang w:eastAsia="en-IN"/>
        </w:rPr>
        <w:t xml:space="preserve"> and alprazolam) and related benzodiazepines: erythromycin has been reported to decrease the clearance of </w:t>
      </w:r>
      <w:proofErr w:type="spellStart"/>
      <w:r w:rsidRPr="00800048">
        <w:rPr>
          <w:rFonts w:ascii="Arial" w:eastAsia="Times New Roman" w:hAnsi="Arial" w:cs="Arial"/>
          <w:lang w:eastAsia="en-IN"/>
        </w:rPr>
        <w:t>triazolam</w:t>
      </w:r>
      <w:proofErr w:type="spellEnd"/>
      <w:r w:rsidRPr="00800048">
        <w:rPr>
          <w:rFonts w:ascii="Arial" w:eastAsia="Times New Roman" w:hAnsi="Arial" w:cs="Arial"/>
          <w:lang w:eastAsia="en-IN"/>
        </w:rPr>
        <w:t>, midazolam, and related benzodiazepines, and thus may increase the pharmacological effect of these benzodiazepines.</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 xml:space="preserve">Post-marketing reports indicate that co-administration of erythromycin with ergotamine or </w:t>
      </w:r>
      <w:proofErr w:type="spellStart"/>
      <w:r w:rsidRPr="00800048">
        <w:rPr>
          <w:rFonts w:ascii="Arial" w:eastAsia="Times New Roman" w:hAnsi="Arial" w:cs="Arial"/>
          <w:lang w:eastAsia="en-IN"/>
        </w:rPr>
        <w:t>dihydroergotamine</w:t>
      </w:r>
      <w:proofErr w:type="spellEnd"/>
      <w:r w:rsidRPr="00800048">
        <w:rPr>
          <w:rFonts w:ascii="Arial" w:eastAsia="Times New Roman" w:hAnsi="Arial" w:cs="Arial"/>
          <w:lang w:eastAsia="en-IN"/>
        </w:rPr>
        <w:t xml:space="preserve"> has been associated with acute ergot toxicity characterised by vasospasm and </w:t>
      </w:r>
      <w:proofErr w:type="spellStart"/>
      <w:r w:rsidRPr="00800048">
        <w:rPr>
          <w:rFonts w:ascii="Arial" w:eastAsia="Times New Roman" w:hAnsi="Arial" w:cs="Arial"/>
          <w:lang w:eastAsia="en-IN"/>
        </w:rPr>
        <w:t>ischaemia</w:t>
      </w:r>
      <w:proofErr w:type="spellEnd"/>
      <w:r w:rsidRPr="00800048">
        <w:rPr>
          <w:rFonts w:ascii="Arial" w:eastAsia="Times New Roman" w:hAnsi="Arial" w:cs="Arial"/>
          <w:lang w:eastAsia="en-IN"/>
        </w:rPr>
        <w:t xml:space="preserve"> of the central nervous system, extremities and other tissues (see section 4.3).</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lastRenderedPageBreak/>
        <w:t xml:space="preserve">Elevated </w:t>
      </w:r>
      <w:proofErr w:type="spellStart"/>
      <w:r w:rsidRPr="00800048">
        <w:rPr>
          <w:rFonts w:ascii="Arial" w:eastAsia="Times New Roman" w:hAnsi="Arial" w:cs="Arial"/>
          <w:lang w:eastAsia="en-IN"/>
        </w:rPr>
        <w:t>cisapride</w:t>
      </w:r>
      <w:proofErr w:type="spellEnd"/>
      <w:r w:rsidRPr="00800048">
        <w:rPr>
          <w:rFonts w:ascii="Arial" w:eastAsia="Times New Roman" w:hAnsi="Arial" w:cs="Arial"/>
          <w:lang w:eastAsia="en-IN"/>
        </w:rPr>
        <w:t xml:space="preserve"> levels have been reported in patients receiving erythromycin and </w:t>
      </w:r>
      <w:proofErr w:type="spellStart"/>
      <w:r w:rsidRPr="00800048">
        <w:rPr>
          <w:rFonts w:ascii="Arial" w:eastAsia="Times New Roman" w:hAnsi="Arial" w:cs="Arial"/>
          <w:lang w:eastAsia="en-IN"/>
        </w:rPr>
        <w:t>cisapride</w:t>
      </w:r>
      <w:proofErr w:type="spellEnd"/>
      <w:r w:rsidRPr="00800048">
        <w:rPr>
          <w:rFonts w:ascii="Arial" w:eastAsia="Times New Roman" w:hAnsi="Arial" w:cs="Arial"/>
          <w:lang w:eastAsia="en-IN"/>
        </w:rPr>
        <w:t xml:space="preserve"> concomitantly. This may result in </w:t>
      </w:r>
      <w:proofErr w:type="spellStart"/>
      <w:r w:rsidRPr="00800048">
        <w:rPr>
          <w:rFonts w:ascii="Arial" w:eastAsia="Times New Roman" w:hAnsi="Arial" w:cs="Arial"/>
          <w:lang w:eastAsia="en-IN"/>
        </w:rPr>
        <w:t>QTc</w:t>
      </w:r>
      <w:proofErr w:type="spellEnd"/>
      <w:r w:rsidRPr="00800048">
        <w:rPr>
          <w:rFonts w:ascii="Arial" w:eastAsia="Times New Roman" w:hAnsi="Arial" w:cs="Arial"/>
          <w:lang w:eastAsia="en-IN"/>
        </w:rPr>
        <w:t xml:space="preserve"> prolongation and cardiac arrhythmias including ventricular tachycardia, ventricular fibrillation and </w:t>
      </w:r>
      <w:proofErr w:type="spellStart"/>
      <w:r w:rsidRPr="00800048">
        <w:rPr>
          <w:rFonts w:ascii="Arial" w:eastAsia="Times New Roman" w:hAnsi="Arial" w:cs="Arial"/>
          <w:lang w:eastAsia="en-IN"/>
        </w:rPr>
        <w:t>torsades</w:t>
      </w:r>
      <w:proofErr w:type="spellEnd"/>
      <w:r w:rsidRPr="00800048">
        <w:rPr>
          <w:rFonts w:ascii="Arial" w:eastAsia="Times New Roman" w:hAnsi="Arial" w:cs="Arial"/>
          <w:lang w:eastAsia="en-IN"/>
        </w:rPr>
        <w:t xml:space="preserve"> de pointes. Similar effects have been observed with concomitant administration of </w:t>
      </w:r>
      <w:proofErr w:type="spellStart"/>
      <w:r w:rsidRPr="00800048">
        <w:rPr>
          <w:rFonts w:ascii="Arial" w:eastAsia="Times New Roman" w:hAnsi="Arial" w:cs="Arial"/>
          <w:lang w:eastAsia="en-IN"/>
        </w:rPr>
        <w:t>pimozide</w:t>
      </w:r>
      <w:proofErr w:type="spellEnd"/>
      <w:r w:rsidRPr="00800048">
        <w:rPr>
          <w:rFonts w:ascii="Arial" w:eastAsia="Times New Roman" w:hAnsi="Arial" w:cs="Arial"/>
          <w:lang w:eastAsia="en-IN"/>
        </w:rPr>
        <w:t xml:space="preserve"> and clarithromycin, another macrolide antibiotic.</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Erythromycin use in patients who are receiving high doses of theophylline may be associated with an increase in serum theophylline levels and potential theophylline toxicity. In case of theophylline toxicity and/or elevated serum theophylline levels, the dose of theophylline should be reduced while the patient is receiving concomitant erythromycin therapy. There have been published reports suggesting when oral erythromycin is given concurrently with theophylline there is a significant decrease in erythromycin serum concentrations. This decrease could result in sub-therapeutic concentrations of erythromycin.</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There have been post-marketing reports of colchicine toxicity with concomitant use of erythromycin and colchicine.</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 xml:space="preserve">Hypotension, </w:t>
      </w:r>
      <w:proofErr w:type="spellStart"/>
      <w:r w:rsidRPr="00800048">
        <w:rPr>
          <w:rFonts w:ascii="Arial" w:eastAsia="Times New Roman" w:hAnsi="Arial" w:cs="Arial"/>
          <w:lang w:eastAsia="en-IN"/>
        </w:rPr>
        <w:t>bradyarrhythmias</w:t>
      </w:r>
      <w:proofErr w:type="spellEnd"/>
      <w:r w:rsidRPr="00800048">
        <w:rPr>
          <w:rFonts w:ascii="Arial" w:eastAsia="Times New Roman" w:hAnsi="Arial" w:cs="Arial"/>
          <w:lang w:eastAsia="en-IN"/>
        </w:rPr>
        <w:t xml:space="preserve"> and lactic acidosis have been observed in patients receiving concurrent verapamil, a calcium channel blocker.</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Cimetidine may inhibit the metabolism of erythromycin which may lead to an increased plasma concentration.</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 xml:space="preserve">Erythromycin has been reported to decrease the clearance of </w:t>
      </w:r>
      <w:proofErr w:type="spellStart"/>
      <w:r w:rsidRPr="00800048">
        <w:rPr>
          <w:rFonts w:ascii="Arial" w:eastAsia="Times New Roman" w:hAnsi="Arial" w:cs="Arial"/>
          <w:lang w:eastAsia="en-IN"/>
        </w:rPr>
        <w:t>zopiclone</w:t>
      </w:r>
      <w:proofErr w:type="spellEnd"/>
      <w:r w:rsidRPr="00800048">
        <w:rPr>
          <w:rFonts w:ascii="Arial" w:eastAsia="Times New Roman" w:hAnsi="Arial" w:cs="Arial"/>
          <w:lang w:eastAsia="en-IN"/>
        </w:rPr>
        <w:t xml:space="preserve"> and thus may increase the </w:t>
      </w:r>
      <w:proofErr w:type="spellStart"/>
      <w:r w:rsidRPr="00800048">
        <w:rPr>
          <w:rFonts w:ascii="Arial" w:eastAsia="Times New Roman" w:hAnsi="Arial" w:cs="Arial"/>
          <w:lang w:eastAsia="en-IN"/>
        </w:rPr>
        <w:t>pharmacodynamic</w:t>
      </w:r>
      <w:proofErr w:type="spellEnd"/>
      <w:r w:rsidRPr="00800048">
        <w:rPr>
          <w:rFonts w:ascii="Arial" w:eastAsia="Times New Roman" w:hAnsi="Arial" w:cs="Arial"/>
          <w:lang w:eastAsia="en-IN"/>
        </w:rPr>
        <w:t xml:space="preserve"> effects of this drug.</w:t>
      </w:r>
    </w:p>
    <w:p w:rsidR="00800048" w:rsidRPr="00800048" w:rsidRDefault="00800048" w:rsidP="00800048">
      <w:pPr>
        <w:spacing w:after="0" w:line="240" w:lineRule="auto"/>
        <w:rPr>
          <w:rFonts w:ascii="Arial" w:eastAsia="Times New Roman" w:hAnsi="Arial" w:cs="Arial"/>
          <w:b/>
          <w:bCs/>
          <w:color w:val="000000"/>
          <w:sz w:val="20"/>
          <w:szCs w:val="20"/>
          <w:lang w:eastAsia="en-IN"/>
        </w:rPr>
      </w:pPr>
      <w:r w:rsidRPr="00800048">
        <w:rPr>
          <w:rFonts w:ascii="Arial" w:eastAsia="Times New Roman" w:hAnsi="Arial" w:cs="Arial"/>
          <w:b/>
          <w:bCs/>
          <w:color w:val="000000"/>
          <w:sz w:val="20"/>
          <w:szCs w:val="20"/>
          <w:lang w:eastAsia="en-IN"/>
        </w:rPr>
        <w:t>4.6 Pregnancy and lactation</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There are no adequate and well-controlled studies in pregnant women. However, observational studies in humans have reported cardiovascular malformations after exposure to medicinal products containing erythromycin during early pregnancy.</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Erythromycin has been reported to cross the placental barrier in humans, but foetal plasma levels are generally low.</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There have been reports that maternal macrolide antibiotics exposure within 7 weeks of delivery may be associated with a higher risk of infantile hypertrophic pyloric stenosis (IHPS).</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Erythromycin can be excreted into breast-milk. Caution should be exercised when administering erythromycin to lactating mothers due reports of infantile hypertrophic pyloric stenosis in breast-fed infants.</w:t>
      </w:r>
    </w:p>
    <w:p w:rsidR="00800048" w:rsidRPr="00800048" w:rsidRDefault="00800048" w:rsidP="00800048">
      <w:pPr>
        <w:spacing w:after="0" w:line="240" w:lineRule="auto"/>
        <w:rPr>
          <w:rFonts w:ascii="Arial" w:eastAsia="Times New Roman" w:hAnsi="Arial" w:cs="Arial"/>
          <w:b/>
          <w:bCs/>
          <w:color w:val="000000"/>
          <w:sz w:val="20"/>
          <w:szCs w:val="20"/>
          <w:lang w:eastAsia="en-IN"/>
        </w:rPr>
      </w:pPr>
      <w:r w:rsidRPr="00800048">
        <w:rPr>
          <w:rFonts w:ascii="Arial" w:eastAsia="Times New Roman" w:hAnsi="Arial" w:cs="Arial"/>
          <w:b/>
          <w:bCs/>
          <w:color w:val="000000"/>
          <w:sz w:val="20"/>
          <w:szCs w:val="20"/>
          <w:lang w:eastAsia="en-IN"/>
        </w:rPr>
        <w:t>4.7 Effects on ability to drive and use machines</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None reported</w:t>
      </w:r>
    </w:p>
    <w:p w:rsidR="00800048" w:rsidRPr="00800048" w:rsidRDefault="00800048" w:rsidP="00800048">
      <w:pPr>
        <w:spacing w:after="0" w:line="240" w:lineRule="auto"/>
        <w:rPr>
          <w:rFonts w:ascii="Arial" w:eastAsia="Times New Roman" w:hAnsi="Arial" w:cs="Arial"/>
          <w:b/>
          <w:bCs/>
          <w:color w:val="000000"/>
          <w:sz w:val="20"/>
          <w:szCs w:val="20"/>
          <w:lang w:eastAsia="en-IN"/>
        </w:rPr>
      </w:pPr>
      <w:r w:rsidRPr="00800048">
        <w:rPr>
          <w:rFonts w:ascii="Arial" w:eastAsia="Times New Roman" w:hAnsi="Arial" w:cs="Arial"/>
          <w:b/>
          <w:bCs/>
          <w:color w:val="000000"/>
          <w:sz w:val="20"/>
          <w:szCs w:val="20"/>
          <w:lang w:eastAsia="en-IN"/>
        </w:rPr>
        <w:t>4.8 Undesirable effects</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b/>
          <w:bCs/>
          <w:lang w:eastAsia="en-IN"/>
        </w:rPr>
        <w:t>Blood and lymphatic system disorders:</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Eosinophilia.</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b/>
          <w:bCs/>
          <w:lang w:eastAsia="en-IN"/>
        </w:rPr>
        <w:t>Cardiac disorders</w:t>
      </w:r>
    </w:p>
    <w:p w:rsidR="00800048" w:rsidRPr="00800048" w:rsidRDefault="00800048" w:rsidP="00800048">
      <w:pPr>
        <w:spacing w:after="143" w:line="240" w:lineRule="auto"/>
        <w:rPr>
          <w:rFonts w:ascii="Arial" w:eastAsia="Times New Roman" w:hAnsi="Arial" w:cs="Arial"/>
          <w:lang w:eastAsia="en-IN"/>
        </w:rPr>
      </w:pPr>
      <w:proofErr w:type="spellStart"/>
      <w:r w:rsidRPr="00800048">
        <w:rPr>
          <w:rFonts w:ascii="Arial" w:eastAsia="Times New Roman" w:hAnsi="Arial" w:cs="Arial"/>
          <w:lang w:eastAsia="en-IN"/>
        </w:rPr>
        <w:t>QTc</w:t>
      </w:r>
      <w:proofErr w:type="spellEnd"/>
      <w:r w:rsidRPr="00800048">
        <w:rPr>
          <w:rFonts w:ascii="Arial" w:eastAsia="Times New Roman" w:hAnsi="Arial" w:cs="Arial"/>
          <w:lang w:eastAsia="en-IN"/>
        </w:rPr>
        <w:t xml:space="preserve"> interval prolongation, </w:t>
      </w:r>
      <w:proofErr w:type="spellStart"/>
      <w:r w:rsidRPr="00800048">
        <w:rPr>
          <w:rFonts w:ascii="Arial" w:eastAsia="Times New Roman" w:hAnsi="Arial" w:cs="Arial"/>
          <w:lang w:eastAsia="en-IN"/>
        </w:rPr>
        <w:t>torsades</w:t>
      </w:r>
      <w:proofErr w:type="spellEnd"/>
      <w:r w:rsidRPr="00800048">
        <w:rPr>
          <w:rFonts w:ascii="Arial" w:eastAsia="Times New Roman" w:hAnsi="Arial" w:cs="Arial"/>
          <w:lang w:eastAsia="en-IN"/>
        </w:rPr>
        <w:t xml:space="preserve"> de pointes, palpitations, and cardiac rhythm disorders including ventricular </w:t>
      </w:r>
      <w:proofErr w:type="spellStart"/>
      <w:r w:rsidRPr="00800048">
        <w:rPr>
          <w:rFonts w:ascii="Arial" w:eastAsia="Times New Roman" w:hAnsi="Arial" w:cs="Arial"/>
          <w:lang w:eastAsia="en-IN"/>
        </w:rPr>
        <w:t>tachyarrhythmias</w:t>
      </w:r>
      <w:proofErr w:type="spellEnd"/>
      <w:r w:rsidRPr="00800048">
        <w:rPr>
          <w:rFonts w:ascii="Arial" w:eastAsia="Times New Roman" w:hAnsi="Arial" w:cs="Arial"/>
          <w:lang w:eastAsia="en-IN"/>
        </w:rPr>
        <w:t>.</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b/>
          <w:bCs/>
          <w:lang w:eastAsia="en-IN"/>
        </w:rPr>
        <w:t>Ear and labyrinth disorders</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Deafness, tinnitus</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There have been isolated reports of reversible hearing loss occurring chiefly in patients with renal insufficiency or high doses.</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b/>
          <w:bCs/>
          <w:lang w:eastAsia="en-IN"/>
        </w:rPr>
        <w:lastRenderedPageBreak/>
        <w:t>Gastrointestinal disorders</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The most frequent side effects of oral erythromycin preparations are gastrointestinal and are dose-related. The following have been reported:</w:t>
      </w:r>
    </w:p>
    <w:p w:rsidR="00800048" w:rsidRPr="00800048" w:rsidRDefault="00800048" w:rsidP="00800048">
      <w:pPr>
        <w:spacing w:after="143" w:line="240" w:lineRule="auto"/>
        <w:rPr>
          <w:rFonts w:ascii="Arial" w:eastAsia="Times New Roman" w:hAnsi="Arial" w:cs="Arial"/>
          <w:lang w:eastAsia="en-IN"/>
        </w:rPr>
      </w:pPr>
      <w:proofErr w:type="gramStart"/>
      <w:r w:rsidRPr="00800048">
        <w:rPr>
          <w:rFonts w:ascii="Arial" w:eastAsia="Times New Roman" w:hAnsi="Arial" w:cs="Arial"/>
          <w:lang w:eastAsia="en-IN"/>
        </w:rPr>
        <w:t>upper</w:t>
      </w:r>
      <w:proofErr w:type="gramEnd"/>
      <w:r w:rsidRPr="00800048">
        <w:rPr>
          <w:rFonts w:ascii="Arial" w:eastAsia="Times New Roman" w:hAnsi="Arial" w:cs="Arial"/>
          <w:lang w:eastAsia="en-IN"/>
        </w:rPr>
        <w:t xml:space="preserve"> abdominal discomfort, nausea, vomiting, diarrhoea, pancreatitis, anorexia, infantile hypertrophic pyloric stenosis.</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Pseudomembranous colitis has been rarely reported in association with erythromycin therapy (see section 4.4).</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b/>
          <w:bCs/>
          <w:lang w:eastAsia="en-IN"/>
        </w:rPr>
        <w:t>General disorders and administration site conditions</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Chest pain, fever, malaise.</w:t>
      </w:r>
    </w:p>
    <w:p w:rsidR="00800048" w:rsidRPr="00800048" w:rsidRDefault="00800048" w:rsidP="00800048">
      <w:pPr>
        <w:spacing w:after="143" w:line="240" w:lineRule="auto"/>
        <w:rPr>
          <w:rFonts w:ascii="Arial" w:eastAsia="Times New Roman" w:hAnsi="Arial" w:cs="Arial"/>
          <w:lang w:eastAsia="en-IN"/>
        </w:rPr>
      </w:pPr>
      <w:proofErr w:type="spellStart"/>
      <w:r w:rsidRPr="00800048">
        <w:rPr>
          <w:rFonts w:ascii="Arial" w:eastAsia="Times New Roman" w:hAnsi="Arial" w:cs="Arial"/>
          <w:b/>
          <w:bCs/>
          <w:lang w:eastAsia="en-IN"/>
        </w:rPr>
        <w:t>Hepatobiliary</w:t>
      </w:r>
      <w:proofErr w:type="spellEnd"/>
      <w:r w:rsidRPr="00800048">
        <w:rPr>
          <w:rFonts w:ascii="Arial" w:eastAsia="Times New Roman" w:hAnsi="Arial" w:cs="Arial"/>
          <w:b/>
          <w:bCs/>
          <w:lang w:eastAsia="en-IN"/>
        </w:rPr>
        <w:t xml:space="preserve"> disorders</w:t>
      </w:r>
    </w:p>
    <w:p w:rsidR="00800048" w:rsidRPr="00800048" w:rsidRDefault="00800048" w:rsidP="00800048">
      <w:pPr>
        <w:spacing w:after="143" w:line="240" w:lineRule="auto"/>
        <w:rPr>
          <w:rFonts w:ascii="Arial" w:eastAsia="Times New Roman" w:hAnsi="Arial" w:cs="Arial"/>
          <w:lang w:eastAsia="en-IN"/>
        </w:rPr>
      </w:pPr>
      <w:proofErr w:type="spellStart"/>
      <w:r w:rsidRPr="00800048">
        <w:rPr>
          <w:rFonts w:ascii="Arial" w:eastAsia="Times New Roman" w:hAnsi="Arial" w:cs="Arial"/>
          <w:lang w:eastAsia="en-IN"/>
        </w:rPr>
        <w:t>Cholestatic</w:t>
      </w:r>
      <w:proofErr w:type="spellEnd"/>
      <w:r w:rsidRPr="00800048">
        <w:rPr>
          <w:rFonts w:ascii="Arial" w:eastAsia="Times New Roman" w:hAnsi="Arial" w:cs="Arial"/>
          <w:lang w:eastAsia="en-IN"/>
        </w:rPr>
        <w:t xml:space="preserve"> hepatitis, jaundice, hepatic </w:t>
      </w:r>
      <w:proofErr w:type="spellStart"/>
      <w:r w:rsidRPr="00800048">
        <w:rPr>
          <w:rFonts w:ascii="Arial" w:eastAsia="Times New Roman" w:hAnsi="Arial" w:cs="Arial"/>
          <w:lang w:eastAsia="en-IN"/>
        </w:rPr>
        <w:t>disfunction</w:t>
      </w:r>
      <w:proofErr w:type="spellEnd"/>
      <w:r w:rsidRPr="00800048">
        <w:rPr>
          <w:rFonts w:ascii="Arial" w:eastAsia="Times New Roman" w:hAnsi="Arial" w:cs="Arial"/>
          <w:lang w:eastAsia="en-IN"/>
        </w:rPr>
        <w:t>, hepatomegaly, hepatic failure, hepatocellular hepatitis (see section 4.4).</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b/>
          <w:bCs/>
          <w:lang w:eastAsia="en-IN"/>
        </w:rPr>
        <w:t>Immune system disorders</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 xml:space="preserve">Allergic reactions ranging from </w:t>
      </w:r>
      <w:proofErr w:type="spellStart"/>
      <w:r w:rsidRPr="00800048">
        <w:rPr>
          <w:rFonts w:ascii="Arial" w:eastAsia="Times New Roman" w:hAnsi="Arial" w:cs="Arial"/>
          <w:lang w:eastAsia="en-IN"/>
        </w:rPr>
        <w:t>urticaria</w:t>
      </w:r>
      <w:proofErr w:type="spellEnd"/>
      <w:r w:rsidRPr="00800048">
        <w:rPr>
          <w:rFonts w:ascii="Arial" w:eastAsia="Times New Roman" w:hAnsi="Arial" w:cs="Arial"/>
          <w:lang w:eastAsia="en-IN"/>
        </w:rPr>
        <w:t xml:space="preserve"> and mild skin eruptions to anaphylaxis have occurred.</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b/>
          <w:bCs/>
          <w:lang w:eastAsia="en-IN"/>
        </w:rPr>
        <w:t>Investigations</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Increased liver enzyme values.</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b/>
          <w:bCs/>
          <w:lang w:eastAsia="en-IN"/>
        </w:rPr>
        <w:t>Nervous system disorders</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There have been isolated reports of transient central nervous system side effects including confusion, seizures and vertigo; however, a cause and effect relationship has not been established.</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b/>
          <w:bCs/>
          <w:lang w:eastAsia="en-IN"/>
        </w:rPr>
        <w:t>Psychiatric disorders</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Hallucinations</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b/>
          <w:bCs/>
          <w:lang w:eastAsia="en-IN"/>
        </w:rPr>
        <w:t>Eye disorders</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Mitochondrial Optic Neuropathy</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b/>
          <w:bCs/>
          <w:lang w:eastAsia="en-IN"/>
        </w:rPr>
        <w:t>Renal and urinary disorders</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Interstitial nephritis</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b/>
          <w:bCs/>
          <w:lang w:eastAsia="en-IN"/>
        </w:rPr>
        <w:t>Skin and subcutaneous tissue disorders</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 xml:space="preserve">Skin eruptions, </w:t>
      </w:r>
      <w:proofErr w:type="spellStart"/>
      <w:r w:rsidRPr="00800048">
        <w:rPr>
          <w:rFonts w:ascii="Arial" w:eastAsia="Times New Roman" w:hAnsi="Arial" w:cs="Arial"/>
          <w:lang w:eastAsia="en-IN"/>
        </w:rPr>
        <w:t>prurituls</w:t>
      </w:r>
      <w:proofErr w:type="spellEnd"/>
      <w:r w:rsidRPr="00800048">
        <w:rPr>
          <w:rFonts w:ascii="Arial" w:eastAsia="Times New Roman" w:hAnsi="Arial" w:cs="Arial"/>
          <w:lang w:eastAsia="en-IN"/>
        </w:rPr>
        <w:t xml:space="preserve">, </w:t>
      </w:r>
      <w:proofErr w:type="spellStart"/>
      <w:r w:rsidRPr="00800048">
        <w:rPr>
          <w:rFonts w:ascii="Arial" w:eastAsia="Times New Roman" w:hAnsi="Arial" w:cs="Arial"/>
          <w:lang w:eastAsia="en-IN"/>
        </w:rPr>
        <w:t>urticaria</w:t>
      </w:r>
      <w:proofErr w:type="spellEnd"/>
      <w:r w:rsidRPr="00800048">
        <w:rPr>
          <w:rFonts w:ascii="Arial" w:eastAsia="Times New Roman" w:hAnsi="Arial" w:cs="Arial"/>
          <w:lang w:eastAsia="en-IN"/>
        </w:rPr>
        <w:t xml:space="preserve">, exanthema, angioedema, Stevens-Johnson syndrome, toxic epidermal </w:t>
      </w:r>
      <w:proofErr w:type="spellStart"/>
      <w:r w:rsidRPr="00800048">
        <w:rPr>
          <w:rFonts w:ascii="Arial" w:eastAsia="Times New Roman" w:hAnsi="Arial" w:cs="Arial"/>
          <w:lang w:eastAsia="en-IN"/>
        </w:rPr>
        <w:t>necrolysis</w:t>
      </w:r>
      <w:proofErr w:type="spellEnd"/>
      <w:r w:rsidRPr="00800048">
        <w:rPr>
          <w:rFonts w:ascii="Arial" w:eastAsia="Times New Roman" w:hAnsi="Arial" w:cs="Arial"/>
          <w:lang w:eastAsia="en-IN"/>
        </w:rPr>
        <w:t xml:space="preserve">, </w:t>
      </w:r>
      <w:proofErr w:type="gramStart"/>
      <w:r w:rsidRPr="00800048">
        <w:rPr>
          <w:rFonts w:ascii="Arial" w:eastAsia="Times New Roman" w:hAnsi="Arial" w:cs="Arial"/>
          <w:lang w:eastAsia="en-IN"/>
        </w:rPr>
        <w:t>erythema</w:t>
      </w:r>
      <w:proofErr w:type="gramEnd"/>
      <w:r w:rsidRPr="00800048">
        <w:rPr>
          <w:rFonts w:ascii="Arial" w:eastAsia="Times New Roman" w:hAnsi="Arial" w:cs="Arial"/>
          <w:lang w:eastAsia="en-IN"/>
        </w:rPr>
        <w:t xml:space="preserve"> </w:t>
      </w:r>
      <w:proofErr w:type="spellStart"/>
      <w:r w:rsidRPr="00800048">
        <w:rPr>
          <w:rFonts w:ascii="Arial" w:eastAsia="Times New Roman" w:hAnsi="Arial" w:cs="Arial"/>
          <w:lang w:eastAsia="en-IN"/>
        </w:rPr>
        <w:t>multiforme</w:t>
      </w:r>
      <w:proofErr w:type="spellEnd"/>
      <w:r w:rsidRPr="00800048">
        <w:rPr>
          <w:rFonts w:ascii="Arial" w:eastAsia="Times New Roman" w:hAnsi="Arial" w:cs="Arial"/>
          <w:lang w:eastAsia="en-IN"/>
        </w:rPr>
        <w:t>.</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 xml:space="preserve">Not known: acute generalised </w:t>
      </w:r>
      <w:proofErr w:type="spellStart"/>
      <w:r w:rsidRPr="00800048">
        <w:rPr>
          <w:rFonts w:ascii="Arial" w:eastAsia="Times New Roman" w:hAnsi="Arial" w:cs="Arial"/>
          <w:lang w:eastAsia="en-IN"/>
        </w:rPr>
        <w:t>exanthematous</w:t>
      </w:r>
      <w:proofErr w:type="spellEnd"/>
      <w:r w:rsidRPr="00800048">
        <w:rPr>
          <w:rFonts w:ascii="Arial" w:eastAsia="Times New Roman" w:hAnsi="Arial" w:cs="Arial"/>
          <w:lang w:eastAsia="en-IN"/>
        </w:rPr>
        <w:t xml:space="preserve"> </w:t>
      </w:r>
      <w:proofErr w:type="spellStart"/>
      <w:r w:rsidRPr="00800048">
        <w:rPr>
          <w:rFonts w:ascii="Arial" w:eastAsia="Times New Roman" w:hAnsi="Arial" w:cs="Arial"/>
          <w:lang w:eastAsia="en-IN"/>
        </w:rPr>
        <w:t>pustulosis</w:t>
      </w:r>
      <w:proofErr w:type="spellEnd"/>
      <w:r w:rsidRPr="00800048">
        <w:rPr>
          <w:rFonts w:ascii="Arial" w:eastAsia="Times New Roman" w:hAnsi="Arial" w:cs="Arial"/>
          <w:lang w:eastAsia="en-IN"/>
        </w:rPr>
        <w:t xml:space="preserve"> (AGEP).</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b/>
          <w:bCs/>
          <w:lang w:eastAsia="en-IN"/>
        </w:rPr>
        <w:t>Vascular disorders</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Hypotension.</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Reporting of suspected adverse reactions</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Reporting suspected adverse reactions after authorisation of the medicinal product is important. It allows continued monitoring of the benefit/risk balance of the medicinal product. Healthcare professionals are asked to report any suspected adverse reactions via the Yellow Card Scheme at: www.mhra.gov.uk/yellowcard</w:t>
      </w:r>
    </w:p>
    <w:p w:rsidR="00800048" w:rsidRPr="00800048" w:rsidRDefault="00800048" w:rsidP="00800048">
      <w:pPr>
        <w:spacing w:after="0" w:line="240" w:lineRule="auto"/>
        <w:rPr>
          <w:rFonts w:ascii="Arial" w:eastAsia="Times New Roman" w:hAnsi="Arial" w:cs="Arial"/>
          <w:b/>
          <w:bCs/>
          <w:color w:val="000000"/>
          <w:sz w:val="20"/>
          <w:szCs w:val="20"/>
          <w:lang w:eastAsia="en-IN"/>
        </w:rPr>
      </w:pPr>
      <w:r w:rsidRPr="00800048">
        <w:rPr>
          <w:rFonts w:ascii="Arial" w:eastAsia="Times New Roman" w:hAnsi="Arial" w:cs="Arial"/>
          <w:b/>
          <w:bCs/>
          <w:color w:val="000000"/>
          <w:sz w:val="20"/>
          <w:szCs w:val="20"/>
          <w:lang w:eastAsia="en-IN"/>
        </w:rPr>
        <w:t>4.9 Overdose</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Symptoms: hearing loss, severe nausea, vomiting and diarrhoea.</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lastRenderedPageBreak/>
        <w:t>Treatment: gastric lavage, general supportive measures.</w:t>
      </w:r>
    </w:p>
    <w:p w:rsidR="00800048" w:rsidRPr="00800048" w:rsidRDefault="00800048" w:rsidP="00800048">
      <w:pPr>
        <w:spacing w:after="150" w:line="240" w:lineRule="auto"/>
        <w:rPr>
          <w:rFonts w:ascii="Arial" w:eastAsia="Times New Roman" w:hAnsi="Arial" w:cs="Arial"/>
          <w:b/>
          <w:bCs/>
          <w:color w:val="397360"/>
          <w:sz w:val="26"/>
          <w:szCs w:val="26"/>
          <w:lang w:eastAsia="en-IN"/>
        </w:rPr>
      </w:pPr>
      <w:r w:rsidRPr="00800048">
        <w:rPr>
          <w:rFonts w:ascii="Arial" w:eastAsia="Times New Roman" w:hAnsi="Arial" w:cs="Arial"/>
          <w:b/>
          <w:bCs/>
          <w:color w:val="397360"/>
          <w:sz w:val="26"/>
          <w:szCs w:val="26"/>
          <w:lang w:eastAsia="en-IN"/>
        </w:rPr>
        <w:t>5. Pharmacological properties</w:t>
      </w:r>
    </w:p>
    <w:p w:rsidR="00800048" w:rsidRPr="00800048" w:rsidRDefault="00800048" w:rsidP="00800048">
      <w:pPr>
        <w:spacing w:after="0" w:line="240" w:lineRule="auto"/>
        <w:rPr>
          <w:rFonts w:ascii="Arial" w:eastAsia="Times New Roman" w:hAnsi="Arial" w:cs="Arial"/>
          <w:b/>
          <w:bCs/>
          <w:color w:val="000000"/>
          <w:sz w:val="20"/>
          <w:szCs w:val="20"/>
          <w:lang w:eastAsia="en-IN"/>
        </w:rPr>
      </w:pPr>
      <w:r w:rsidRPr="00800048">
        <w:rPr>
          <w:rFonts w:ascii="Arial" w:eastAsia="Times New Roman" w:hAnsi="Arial" w:cs="Arial"/>
          <w:b/>
          <w:bCs/>
          <w:color w:val="000000"/>
          <w:sz w:val="20"/>
          <w:szCs w:val="20"/>
          <w:lang w:eastAsia="en-IN"/>
        </w:rPr>
        <w:t xml:space="preserve">5.1 </w:t>
      </w:r>
      <w:proofErr w:type="spellStart"/>
      <w:r w:rsidRPr="00800048">
        <w:rPr>
          <w:rFonts w:ascii="Arial" w:eastAsia="Times New Roman" w:hAnsi="Arial" w:cs="Arial"/>
          <w:b/>
          <w:bCs/>
          <w:color w:val="000000"/>
          <w:sz w:val="20"/>
          <w:szCs w:val="20"/>
          <w:lang w:eastAsia="en-IN"/>
        </w:rPr>
        <w:t>Pharmacodynamic</w:t>
      </w:r>
      <w:proofErr w:type="spellEnd"/>
      <w:r w:rsidRPr="00800048">
        <w:rPr>
          <w:rFonts w:ascii="Arial" w:eastAsia="Times New Roman" w:hAnsi="Arial" w:cs="Arial"/>
          <w:b/>
          <w:bCs/>
          <w:color w:val="000000"/>
          <w:sz w:val="20"/>
          <w:szCs w:val="20"/>
          <w:lang w:eastAsia="en-IN"/>
        </w:rPr>
        <w:t xml:space="preserve"> properties</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ATC code: J01FA01</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Erythromycin exerts its antimicrobial action by binding to the 50S ribosomal sub-unit of susceptible microorganisms and suppresses protein synthesis. Erythromycin is usually active against most strains of the following organisms both in vitro and in clinical infections:</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 xml:space="preserve">Gram positive bacteria - Listeria </w:t>
      </w:r>
      <w:proofErr w:type="spellStart"/>
      <w:r w:rsidRPr="00800048">
        <w:rPr>
          <w:rFonts w:ascii="Arial" w:eastAsia="Times New Roman" w:hAnsi="Arial" w:cs="Arial"/>
          <w:lang w:eastAsia="en-IN"/>
        </w:rPr>
        <w:t>monocytogenes</w:t>
      </w:r>
      <w:proofErr w:type="spellEnd"/>
      <w:r w:rsidRPr="00800048">
        <w:rPr>
          <w:rFonts w:ascii="Arial" w:eastAsia="Times New Roman" w:hAnsi="Arial" w:cs="Arial"/>
          <w:lang w:eastAsia="en-IN"/>
        </w:rPr>
        <w:t xml:space="preserve">, </w:t>
      </w:r>
      <w:proofErr w:type="spellStart"/>
      <w:r w:rsidRPr="00800048">
        <w:rPr>
          <w:rFonts w:ascii="Arial" w:eastAsia="Times New Roman" w:hAnsi="Arial" w:cs="Arial"/>
          <w:lang w:eastAsia="en-IN"/>
        </w:rPr>
        <w:t>Corynebacterium</w:t>
      </w:r>
      <w:proofErr w:type="spellEnd"/>
      <w:r w:rsidRPr="00800048">
        <w:rPr>
          <w:rFonts w:ascii="Arial" w:eastAsia="Times New Roman" w:hAnsi="Arial" w:cs="Arial"/>
          <w:lang w:eastAsia="en-IN"/>
        </w:rPr>
        <w:t xml:space="preserve"> </w:t>
      </w:r>
      <w:proofErr w:type="spellStart"/>
      <w:r w:rsidRPr="00800048">
        <w:rPr>
          <w:rFonts w:ascii="Arial" w:eastAsia="Times New Roman" w:hAnsi="Arial" w:cs="Arial"/>
          <w:lang w:eastAsia="en-IN"/>
        </w:rPr>
        <w:t>diphtheriae</w:t>
      </w:r>
      <w:proofErr w:type="spellEnd"/>
      <w:r w:rsidRPr="00800048">
        <w:rPr>
          <w:rFonts w:ascii="Arial" w:eastAsia="Times New Roman" w:hAnsi="Arial" w:cs="Arial"/>
          <w:lang w:eastAsia="en-IN"/>
        </w:rPr>
        <w:t xml:space="preserve"> (as an adjunct to antitoxin), Staphylococci </w:t>
      </w:r>
      <w:proofErr w:type="spellStart"/>
      <w:r w:rsidRPr="00800048">
        <w:rPr>
          <w:rFonts w:ascii="Arial" w:eastAsia="Times New Roman" w:hAnsi="Arial" w:cs="Arial"/>
          <w:lang w:eastAsia="en-IN"/>
        </w:rPr>
        <w:t>spp</w:t>
      </w:r>
      <w:proofErr w:type="spellEnd"/>
      <w:r w:rsidRPr="00800048">
        <w:rPr>
          <w:rFonts w:ascii="Arial" w:eastAsia="Times New Roman" w:hAnsi="Arial" w:cs="Arial"/>
          <w:lang w:eastAsia="en-IN"/>
        </w:rPr>
        <w:t xml:space="preserve">, Streptococci </w:t>
      </w:r>
      <w:proofErr w:type="spellStart"/>
      <w:r w:rsidRPr="00800048">
        <w:rPr>
          <w:rFonts w:ascii="Arial" w:eastAsia="Times New Roman" w:hAnsi="Arial" w:cs="Arial"/>
          <w:lang w:eastAsia="en-IN"/>
        </w:rPr>
        <w:t>spp</w:t>
      </w:r>
      <w:proofErr w:type="spellEnd"/>
      <w:r w:rsidRPr="00800048">
        <w:rPr>
          <w:rFonts w:ascii="Arial" w:eastAsia="Times New Roman" w:hAnsi="Arial" w:cs="Arial"/>
          <w:lang w:eastAsia="en-IN"/>
        </w:rPr>
        <w:t xml:space="preserve"> (including Enterococci).</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 xml:space="preserve">Gram negative bacteria - </w:t>
      </w:r>
      <w:proofErr w:type="spellStart"/>
      <w:r w:rsidRPr="00800048">
        <w:rPr>
          <w:rFonts w:ascii="Arial" w:eastAsia="Times New Roman" w:hAnsi="Arial" w:cs="Arial"/>
          <w:lang w:eastAsia="en-IN"/>
        </w:rPr>
        <w:t>Haemophilus</w:t>
      </w:r>
      <w:proofErr w:type="spellEnd"/>
      <w:r w:rsidRPr="00800048">
        <w:rPr>
          <w:rFonts w:ascii="Arial" w:eastAsia="Times New Roman" w:hAnsi="Arial" w:cs="Arial"/>
          <w:lang w:eastAsia="en-IN"/>
        </w:rPr>
        <w:t xml:space="preserve"> </w:t>
      </w:r>
      <w:proofErr w:type="spellStart"/>
      <w:r w:rsidRPr="00800048">
        <w:rPr>
          <w:rFonts w:ascii="Arial" w:eastAsia="Times New Roman" w:hAnsi="Arial" w:cs="Arial"/>
          <w:lang w:eastAsia="en-IN"/>
        </w:rPr>
        <w:t>influenzae</w:t>
      </w:r>
      <w:proofErr w:type="spellEnd"/>
      <w:r w:rsidRPr="00800048">
        <w:rPr>
          <w:rFonts w:ascii="Arial" w:eastAsia="Times New Roman" w:hAnsi="Arial" w:cs="Arial"/>
          <w:lang w:eastAsia="en-IN"/>
        </w:rPr>
        <w:t xml:space="preserve">, Neisseria </w:t>
      </w:r>
      <w:proofErr w:type="spellStart"/>
      <w:r w:rsidRPr="00800048">
        <w:rPr>
          <w:rFonts w:ascii="Arial" w:eastAsia="Times New Roman" w:hAnsi="Arial" w:cs="Arial"/>
          <w:lang w:eastAsia="en-IN"/>
        </w:rPr>
        <w:t>meningitidis</w:t>
      </w:r>
      <w:proofErr w:type="spellEnd"/>
      <w:r w:rsidRPr="00800048">
        <w:rPr>
          <w:rFonts w:ascii="Arial" w:eastAsia="Times New Roman" w:hAnsi="Arial" w:cs="Arial"/>
          <w:lang w:eastAsia="en-IN"/>
        </w:rPr>
        <w:t xml:space="preserve">, Neisseria </w:t>
      </w:r>
      <w:proofErr w:type="spellStart"/>
      <w:r w:rsidRPr="00800048">
        <w:rPr>
          <w:rFonts w:ascii="Arial" w:eastAsia="Times New Roman" w:hAnsi="Arial" w:cs="Arial"/>
          <w:lang w:eastAsia="en-IN"/>
        </w:rPr>
        <w:t>gonorrhoeae</w:t>
      </w:r>
      <w:proofErr w:type="spellEnd"/>
      <w:r w:rsidRPr="00800048">
        <w:rPr>
          <w:rFonts w:ascii="Arial" w:eastAsia="Times New Roman" w:hAnsi="Arial" w:cs="Arial"/>
          <w:lang w:eastAsia="en-IN"/>
        </w:rPr>
        <w:t xml:space="preserve">, Legionella </w:t>
      </w:r>
      <w:proofErr w:type="spellStart"/>
      <w:r w:rsidRPr="00800048">
        <w:rPr>
          <w:rFonts w:ascii="Arial" w:eastAsia="Times New Roman" w:hAnsi="Arial" w:cs="Arial"/>
          <w:lang w:eastAsia="en-IN"/>
        </w:rPr>
        <w:t>pneumophila</w:t>
      </w:r>
      <w:proofErr w:type="spellEnd"/>
      <w:r w:rsidRPr="00800048">
        <w:rPr>
          <w:rFonts w:ascii="Arial" w:eastAsia="Times New Roman" w:hAnsi="Arial" w:cs="Arial"/>
          <w:lang w:eastAsia="en-IN"/>
        </w:rPr>
        <w:t>, Moraxella (</w:t>
      </w:r>
      <w:proofErr w:type="spellStart"/>
      <w:r w:rsidRPr="00800048">
        <w:rPr>
          <w:rFonts w:ascii="Arial" w:eastAsia="Times New Roman" w:hAnsi="Arial" w:cs="Arial"/>
          <w:lang w:eastAsia="en-IN"/>
        </w:rPr>
        <w:t>Branhamella</w:t>
      </w:r>
      <w:proofErr w:type="spellEnd"/>
      <w:r w:rsidRPr="00800048">
        <w:rPr>
          <w:rFonts w:ascii="Arial" w:eastAsia="Times New Roman" w:hAnsi="Arial" w:cs="Arial"/>
          <w:lang w:eastAsia="en-IN"/>
        </w:rPr>
        <w:t xml:space="preserve">) </w:t>
      </w:r>
      <w:proofErr w:type="spellStart"/>
      <w:r w:rsidRPr="00800048">
        <w:rPr>
          <w:rFonts w:ascii="Arial" w:eastAsia="Times New Roman" w:hAnsi="Arial" w:cs="Arial"/>
          <w:lang w:eastAsia="en-IN"/>
        </w:rPr>
        <w:t>catarrhalis</w:t>
      </w:r>
      <w:proofErr w:type="spellEnd"/>
      <w:r w:rsidRPr="00800048">
        <w:rPr>
          <w:rFonts w:ascii="Arial" w:eastAsia="Times New Roman" w:hAnsi="Arial" w:cs="Arial"/>
          <w:lang w:eastAsia="en-IN"/>
        </w:rPr>
        <w:t xml:space="preserve">, </w:t>
      </w:r>
      <w:proofErr w:type="spellStart"/>
      <w:r w:rsidRPr="00800048">
        <w:rPr>
          <w:rFonts w:ascii="Arial" w:eastAsia="Times New Roman" w:hAnsi="Arial" w:cs="Arial"/>
          <w:lang w:eastAsia="en-IN"/>
        </w:rPr>
        <w:t>Bordetella</w:t>
      </w:r>
      <w:proofErr w:type="spellEnd"/>
      <w:r w:rsidRPr="00800048">
        <w:rPr>
          <w:rFonts w:ascii="Arial" w:eastAsia="Times New Roman" w:hAnsi="Arial" w:cs="Arial"/>
          <w:lang w:eastAsia="en-IN"/>
        </w:rPr>
        <w:t xml:space="preserve"> pertussis, Campylobacter spp.</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 xml:space="preserve">Mycoplasma - Mycoplasma </w:t>
      </w:r>
      <w:proofErr w:type="spellStart"/>
      <w:r w:rsidRPr="00800048">
        <w:rPr>
          <w:rFonts w:ascii="Arial" w:eastAsia="Times New Roman" w:hAnsi="Arial" w:cs="Arial"/>
          <w:lang w:eastAsia="en-IN"/>
        </w:rPr>
        <w:t>pneumoniae</w:t>
      </w:r>
      <w:proofErr w:type="spellEnd"/>
      <w:r w:rsidRPr="00800048">
        <w:rPr>
          <w:rFonts w:ascii="Arial" w:eastAsia="Times New Roman" w:hAnsi="Arial" w:cs="Arial"/>
          <w:lang w:eastAsia="en-IN"/>
        </w:rPr>
        <w:t xml:space="preserve">, </w:t>
      </w:r>
      <w:proofErr w:type="spellStart"/>
      <w:r w:rsidRPr="00800048">
        <w:rPr>
          <w:rFonts w:ascii="Arial" w:eastAsia="Times New Roman" w:hAnsi="Arial" w:cs="Arial"/>
          <w:lang w:eastAsia="en-IN"/>
        </w:rPr>
        <w:t>Ureaplasma</w:t>
      </w:r>
      <w:proofErr w:type="spellEnd"/>
      <w:r w:rsidRPr="00800048">
        <w:rPr>
          <w:rFonts w:ascii="Arial" w:eastAsia="Times New Roman" w:hAnsi="Arial" w:cs="Arial"/>
          <w:lang w:eastAsia="en-IN"/>
        </w:rPr>
        <w:t xml:space="preserve"> </w:t>
      </w:r>
      <w:proofErr w:type="spellStart"/>
      <w:r w:rsidRPr="00800048">
        <w:rPr>
          <w:rFonts w:ascii="Arial" w:eastAsia="Times New Roman" w:hAnsi="Arial" w:cs="Arial"/>
          <w:lang w:eastAsia="en-IN"/>
        </w:rPr>
        <w:t>urealyticum</w:t>
      </w:r>
      <w:proofErr w:type="spellEnd"/>
      <w:r w:rsidRPr="00800048">
        <w:rPr>
          <w:rFonts w:ascii="Arial" w:eastAsia="Times New Roman" w:hAnsi="Arial" w:cs="Arial"/>
          <w:lang w:eastAsia="en-IN"/>
        </w:rPr>
        <w:t>.</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 xml:space="preserve">Other organisms - </w:t>
      </w:r>
      <w:proofErr w:type="spellStart"/>
      <w:r w:rsidRPr="00800048">
        <w:rPr>
          <w:rFonts w:ascii="Arial" w:eastAsia="Times New Roman" w:hAnsi="Arial" w:cs="Arial"/>
          <w:lang w:eastAsia="en-IN"/>
        </w:rPr>
        <w:t>Treponema</w:t>
      </w:r>
      <w:proofErr w:type="spellEnd"/>
      <w:r w:rsidRPr="00800048">
        <w:rPr>
          <w:rFonts w:ascii="Arial" w:eastAsia="Times New Roman" w:hAnsi="Arial" w:cs="Arial"/>
          <w:lang w:eastAsia="en-IN"/>
        </w:rPr>
        <w:t xml:space="preserve"> </w:t>
      </w:r>
      <w:proofErr w:type="spellStart"/>
      <w:r w:rsidRPr="00800048">
        <w:rPr>
          <w:rFonts w:ascii="Arial" w:eastAsia="Times New Roman" w:hAnsi="Arial" w:cs="Arial"/>
          <w:lang w:eastAsia="en-IN"/>
        </w:rPr>
        <w:t>pallidum</w:t>
      </w:r>
      <w:proofErr w:type="spellEnd"/>
      <w:r w:rsidRPr="00800048">
        <w:rPr>
          <w:rFonts w:ascii="Arial" w:eastAsia="Times New Roman" w:hAnsi="Arial" w:cs="Arial"/>
          <w:lang w:eastAsia="en-IN"/>
        </w:rPr>
        <w:t xml:space="preserve">, Chlamydia </w:t>
      </w:r>
      <w:proofErr w:type="spellStart"/>
      <w:r w:rsidRPr="00800048">
        <w:rPr>
          <w:rFonts w:ascii="Arial" w:eastAsia="Times New Roman" w:hAnsi="Arial" w:cs="Arial"/>
          <w:lang w:eastAsia="en-IN"/>
        </w:rPr>
        <w:t>spp</w:t>
      </w:r>
      <w:proofErr w:type="spellEnd"/>
      <w:r w:rsidRPr="00800048">
        <w:rPr>
          <w:rFonts w:ascii="Arial" w:eastAsia="Times New Roman" w:hAnsi="Arial" w:cs="Arial"/>
          <w:lang w:eastAsia="en-IN"/>
        </w:rPr>
        <w:t xml:space="preserve">, Clostridia </w:t>
      </w:r>
      <w:proofErr w:type="spellStart"/>
      <w:r w:rsidRPr="00800048">
        <w:rPr>
          <w:rFonts w:ascii="Arial" w:eastAsia="Times New Roman" w:hAnsi="Arial" w:cs="Arial"/>
          <w:lang w:eastAsia="en-IN"/>
        </w:rPr>
        <w:t>spp</w:t>
      </w:r>
      <w:proofErr w:type="spellEnd"/>
      <w:r w:rsidRPr="00800048">
        <w:rPr>
          <w:rFonts w:ascii="Arial" w:eastAsia="Times New Roman" w:hAnsi="Arial" w:cs="Arial"/>
          <w:lang w:eastAsia="en-IN"/>
        </w:rPr>
        <w:t xml:space="preserve">, L-forms, the agents causing trachoma and </w:t>
      </w:r>
      <w:proofErr w:type="spellStart"/>
      <w:r w:rsidRPr="00800048">
        <w:rPr>
          <w:rFonts w:ascii="Arial" w:eastAsia="Times New Roman" w:hAnsi="Arial" w:cs="Arial"/>
          <w:lang w:eastAsia="en-IN"/>
        </w:rPr>
        <w:t>lymphogranuloma</w:t>
      </w:r>
      <w:proofErr w:type="spellEnd"/>
      <w:r w:rsidRPr="00800048">
        <w:rPr>
          <w:rFonts w:ascii="Arial" w:eastAsia="Times New Roman" w:hAnsi="Arial" w:cs="Arial"/>
          <w:lang w:eastAsia="en-IN"/>
        </w:rPr>
        <w:t xml:space="preserve"> </w:t>
      </w:r>
      <w:proofErr w:type="spellStart"/>
      <w:r w:rsidRPr="00800048">
        <w:rPr>
          <w:rFonts w:ascii="Arial" w:eastAsia="Times New Roman" w:hAnsi="Arial" w:cs="Arial"/>
          <w:lang w:eastAsia="en-IN"/>
        </w:rPr>
        <w:t>venereum</w:t>
      </w:r>
      <w:proofErr w:type="spellEnd"/>
      <w:r w:rsidRPr="00800048">
        <w:rPr>
          <w:rFonts w:ascii="Arial" w:eastAsia="Times New Roman" w:hAnsi="Arial" w:cs="Arial"/>
          <w:lang w:eastAsia="en-IN"/>
        </w:rPr>
        <w:t>.</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 xml:space="preserve">Note: The majority of strains of </w:t>
      </w:r>
      <w:proofErr w:type="spellStart"/>
      <w:r w:rsidRPr="00800048">
        <w:rPr>
          <w:rFonts w:ascii="Arial" w:eastAsia="Times New Roman" w:hAnsi="Arial" w:cs="Arial"/>
          <w:lang w:eastAsia="en-IN"/>
        </w:rPr>
        <w:t>Haemophilus</w:t>
      </w:r>
      <w:proofErr w:type="spellEnd"/>
      <w:r w:rsidRPr="00800048">
        <w:rPr>
          <w:rFonts w:ascii="Arial" w:eastAsia="Times New Roman" w:hAnsi="Arial" w:cs="Arial"/>
          <w:lang w:eastAsia="en-IN"/>
        </w:rPr>
        <w:t xml:space="preserve"> </w:t>
      </w:r>
      <w:proofErr w:type="spellStart"/>
      <w:r w:rsidRPr="00800048">
        <w:rPr>
          <w:rFonts w:ascii="Arial" w:eastAsia="Times New Roman" w:hAnsi="Arial" w:cs="Arial"/>
          <w:lang w:eastAsia="en-IN"/>
        </w:rPr>
        <w:t>influenzae</w:t>
      </w:r>
      <w:proofErr w:type="spellEnd"/>
      <w:r w:rsidRPr="00800048">
        <w:rPr>
          <w:rFonts w:ascii="Arial" w:eastAsia="Times New Roman" w:hAnsi="Arial" w:cs="Arial"/>
          <w:lang w:eastAsia="en-IN"/>
        </w:rPr>
        <w:t xml:space="preserve"> are susceptible to the concentrations reached after ordinary doses.</w:t>
      </w:r>
    </w:p>
    <w:p w:rsidR="00800048" w:rsidRPr="00800048" w:rsidRDefault="00800048" w:rsidP="00800048">
      <w:pPr>
        <w:spacing w:after="0" w:line="240" w:lineRule="auto"/>
        <w:rPr>
          <w:rFonts w:ascii="Arial" w:eastAsia="Times New Roman" w:hAnsi="Arial" w:cs="Arial"/>
          <w:b/>
          <w:bCs/>
          <w:color w:val="000000"/>
          <w:sz w:val="20"/>
          <w:szCs w:val="20"/>
          <w:lang w:eastAsia="en-IN"/>
        </w:rPr>
      </w:pPr>
      <w:r w:rsidRPr="00800048">
        <w:rPr>
          <w:rFonts w:ascii="Arial" w:eastAsia="Times New Roman" w:hAnsi="Arial" w:cs="Arial"/>
          <w:b/>
          <w:bCs/>
          <w:color w:val="000000"/>
          <w:sz w:val="20"/>
          <w:szCs w:val="20"/>
          <w:lang w:eastAsia="en-IN"/>
        </w:rPr>
        <w:t>5.2 Pharmacokinetic properties</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 xml:space="preserve">Peak blood levels normally occur within one hour of dosing of erythromycin </w:t>
      </w:r>
      <w:proofErr w:type="spellStart"/>
      <w:r w:rsidRPr="00800048">
        <w:rPr>
          <w:rFonts w:ascii="Arial" w:eastAsia="Times New Roman" w:hAnsi="Arial" w:cs="Arial"/>
          <w:lang w:eastAsia="en-IN"/>
        </w:rPr>
        <w:t>ethylsuccinate</w:t>
      </w:r>
      <w:proofErr w:type="spellEnd"/>
      <w:r w:rsidRPr="00800048">
        <w:rPr>
          <w:rFonts w:ascii="Arial" w:eastAsia="Times New Roman" w:hAnsi="Arial" w:cs="Arial"/>
          <w:lang w:eastAsia="en-IN"/>
        </w:rPr>
        <w:t xml:space="preserve"> granules. The elimination </w:t>
      </w:r>
      <w:proofErr w:type="spellStart"/>
      <w:r w:rsidRPr="00800048">
        <w:rPr>
          <w:rFonts w:ascii="Arial" w:eastAsia="Times New Roman" w:hAnsi="Arial" w:cs="Arial"/>
          <w:lang w:eastAsia="en-IN"/>
        </w:rPr>
        <w:t>half life</w:t>
      </w:r>
      <w:proofErr w:type="spellEnd"/>
      <w:r w:rsidRPr="00800048">
        <w:rPr>
          <w:rFonts w:ascii="Arial" w:eastAsia="Times New Roman" w:hAnsi="Arial" w:cs="Arial"/>
          <w:lang w:eastAsia="en-IN"/>
        </w:rPr>
        <w:t xml:space="preserve"> is approximately two hours. Doses may be administered two, three or four times a day.</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 xml:space="preserve">Erythromycin </w:t>
      </w:r>
      <w:proofErr w:type="spellStart"/>
      <w:r w:rsidRPr="00800048">
        <w:rPr>
          <w:rFonts w:ascii="Arial" w:eastAsia="Times New Roman" w:hAnsi="Arial" w:cs="Arial"/>
          <w:lang w:eastAsia="en-IN"/>
        </w:rPr>
        <w:t>ethylsuccinate</w:t>
      </w:r>
      <w:proofErr w:type="spellEnd"/>
      <w:r w:rsidRPr="00800048">
        <w:rPr>
          <w:rFonts w:ascii="Arial" w:eastAsia="Times New Roman" w:hAnsi="Arial" w:cs="Arial"/>
          <w:lang w:eastAsia="en-IN"/>
        </w:rPr>
        <w:t xml:space="preserve"> is less susceptible than erythromycin to the adverse effect of gastric acid. It is absorbed from the small intestine. It is widely distributed throughout body tissues. Little metabolism occurs and only about 5% is excreted in the urine. It is excreted principally by the liver.</w:t>
      </w:r>
    </w:p>
    <w:p w:rsidR="00800048" w:rsidRPr="00800048" w:rsidRDefault="00800048" w:rsidP="00800048">
      <w:pPr>
        <w:spacing w:after="0" w:line="240" w:lineRule="auto"/>
        <w:rPr>
          <w:rFonts w:ascii="Arial" w:eastAsia="Times New Roman" w:hAnsi="Arial" w:cs="Arial"/>
          <w:b/>
          <w:bCs/>
          <w:color w:val="000000"/>
          <w:sz w:val="20"/>
          <w:szCs w:val="20"/>
          <w:lang w:eastAsia="en-IN"/>
        </w:rPr>
      </w:pPr>
      <w:r w:rsidRPr="00800048">
        <w:rPr>
          <w:rFonts w:ascii="Arial" w:eastAsia="Times New Roman" w:hAnsi="Arial" w:cs="Arial"/>
          <w:b/>
          <w:bCs/>
          <w:color w:val="000000"/>
          <w:sz w:val="20"/>
          <w:szCs w:val="20"/>
          <w:lang w:eastAsia="en-IN"/>
        </w:rPr>
        <w:t>5.3 Preclinical safety data</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There are no pre-clinical data of relevance to the prescriber which are additional to that already included in other sections of the SPC.</w:t>
      </w:r>
    </w:p>
    <w:p w:rsidR="00800048" w:rsidRPr="00800048" w:rsidRDefault="00800048" w:rsidP="00800048">
      <w:pPr>
        <w:spacing w:after="150" w:line="240" w:lineRule="auto"/>
        <w:rPr>
          <w:rFonts w:ascii="Arial" w:eastAsia="Times New Roman" w:hAnsi="Arial" w:cs="Arial"/>
          <w:b/>
          <w:bCs/>
          <w:color w:val="397360"/>
          <w:sz w:val="26"/>
          <w:szCs w:val="26"/>
          <w:lang w:eastAsia="en-IN"/>
        </w:rPr>
      </w:pPr>
      <w:r w:rsidRPr="00800048">
        <w:rPr>
          <w:rFonts w:ascii="Arial" w:eastAsia="Times New Roman" w:hAnsi="Arial" w:cs="Arial"/>
          <w:b/>
          <w:bCs/>
          <w:color w:val="397360"/>
          <w:sz w:val="26"/>
          <w:szCs w:val="26"/>
          <w:lang w:eastAsia="en-IN"/>
        </w:rPr>
        <w:t>6. Pharmaceutical particulars</w:t>
      </w:r>
    </w:p>
    <w:p w:rsidR="00800048" w:rsidRPr="00800048" w:rsidRDefault="00800048" w:rsidP="00800048">
      <w:pPr>
        <w:spacing w:after="0" w:line="240" w:lineRule="auto"/>
        <w:rPr>
          <w:rFonts w:ascii="Arial" w:eastAsia="Times New Roman" w:hAnsi="Arial" w:cs="Arial"/>
          <w:b/>
          <w:bCs/>
          <w:color w:val="000000"/>
          <w:sz w:val="20"/>
          <w:szCs w:val="20"/>
          <w:lang w:eastAsia="en-IN"/>
        </w:rPr>
      </w:pPr>
      <w:r w:rsidRPr="00800048">
        <w:rPr>
          <w:rFonts w:ascii="Arial" w:eastAsia="Times New Roman" w:hAnsi="Arial" w:cs="Arial"/>
          <w:b/>
          <w:bCs/>
          <w:color w:val="000000"/>
          <w:sz w:val="20"/>
          <w:szCs w:val="20"/>
          <w:lang w:eastAsia="en-IN"/>
        </w:rPr>
        <w:t>6.1 List of excipients</w:t>
      </w:r>
    </w:p>
    <w:p w:rsidR="00800048" w:rsidRPr="00800048" w:rsidRDefault="00800048" w:rsidP="00800048">
      <w:pPr>
        <w:spacing w:after="143" w:line="240" w:lineRule="auto"/>
        <w:rPr>
          <w:rFonts w:ascii="Arial" w:eastAsia="Times New Roman" w:hAnsi="Arial" w:cs="Arial"/>
          <w:lang w:eastAsia="en-IN"/>
        </w:rPr>
      </w:pPr>
      <w:proofErr w:type="spellStart"/>
      <w:r w:rsidRPr="00800048">
        <w:rPr>
          <w:rFonts w:ascii="Arial" w:eastAsia="Times New Roman" w:hAnsi="Arial" w:cs="Arial"/>
          <w:lang w:eastAsia="en-IN"/>
        </w:rPr>
        <w:t>Povidone</w:t>
      </w:r>
      <w:proofErr w:type="spellEnd"/>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Maize starch</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Polyethylene glycol 8000</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Polyethylene glycol 400</w:t>
      </w:r>
    </w:p>
    <w:p w:rsidR="00800048" w:rsidRPr="00800048" w:rsidRDefault="00800048" w:rsidP="00800048">
      <w:pPr>
        <w:spacing w:after="143" w:line="240" w:lineRule="auto"/>
        <w:rPr>
          <w:rFonts w:ascii="Arial" w:eastAsia="Times New Roman" w:hAnsi="Arial" w:cs="Arial"/>
          <w:lang w:eastAsia="en-IN"/>
        </w:rPr>
      </w:pPr>
      <w:proofErr w:type="spellStart"/>
      <w:r w:rsidRPr="00800048">
        <w:rPr>
          <w:rFonts w:ascii="Arial" w:eastAsia="Times New Roman" w:hAnsi="Arial" w:cs="Arial"/>
          <w:lang w:eastAsia="en-IN"/>
        </w:rPr>
        <w:t>Hydroxypropyl</w:t>
      </w:r>
      <w:proofErr w:type="spellEnd"/>
      <w:r w:rsidRPr="00800048">
        <w:rPr>
          <w:rFonts w:ascii="Arial" w:eastAsia="Times New Roman" w:hAnsi="Arial" w:cs="Arial"/>
          <w:lang w:eastAsia="en-IN"/>
        </w:rPr>
        <w:t xml:space="preserve"> methyl cellulose</w:t>
      </w:r>
    </w:p>
    <w:p w:rsidR="00800048" w:rsidRPr="00800048" w:rsidRDefault="000B2BC3" w:rsidP="00800048">
      <w:pPr>
        <w:spacing w:after="143" w:line="240" w:lineRule="auto"/>
        <w:rPr>
          <w:rFonts w:ascii="Arial" w:eastAsia="Times New Roman" w:hAnsi="Arial" w:cs="Arial"/>
          <w:lang w:eastAsia="en-IN"/>
        </w:rPr>
      </w:pPr>
      <w:r>
        <w:rPr>
          <w:rFonts w:ascii="Arial" w:eastAsia="Times New Roman" w:hAnsi="Arial" w:cs="Arial"/>
          <w:lang w:eastAsia="en-IN"/>
        </w:rPr>
        <w:t xml:space="preserve">Sodium Citrate </w:t>
      </w:r>
    </w:p>
    <w:p w:rsidR="00800048" w:rsidRPr="00800048" w:rsidRDefault="00800048" w:rsidP="00800048">
      <w:pPr>
        <w:spacing w:after="0" w:line="240" w:lineRule="auto"/>
        <w:rPr>
          <w:rFonts w:ascii="Arial" w:eastAsia="Times New Roman" w:hAnsi="Arial" w:cs="Arial"/>
          <w:b/>
          <w:bCs/>
          <w:color w:val="000000"/>
          <w:sz w:val="20"/>
          <w:szCs w:val="20"/>
          <w:lang w:eastAsia="en-IN"/>
        </w:rPr>
      </w:pPr>
      <w:r w:rsidRPr="00800048">
        <w:rPr>
          <w:rFonts w:ascii="Arial" w:eastAsia="Times New Roman" w:hAnsi="Arial" w:cs="Arial"/>
          <w:b/>
          <w:bCs/>
          <w:color w:val="000000"/>
          <w:sz w:val="20"/>
          <w:szCs w:val="20"/>
          <w:lang w:eastAsia="en-IN"/>
        </w:rPr>
        <w:t>6.2 Incompatibilities</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None stated.</w:t>
      </w:r>
    </w:p>
    <w:p w:rsidR="00800048" w:rsidRPr="00800048" w:rsidRDefault="00800048" w:rsidP="00800048">
      <w:pPr>
        <w:spacing w:after="0" w:line="240" w:lineRule="auto"/>
        <w:rPr>
          <w:rFonts w:ascii="Arial" w:eastAsia="Times New Roman" w:hAnsi="Arial" w:cs="Arial"/>
          <w:b/>
          <w:bCs/>
          <w:color w:val="000000"/>
          <w:sz w:val="20"/>
          <w:szCs w:val="20"/>
          <w:lang w:eastAsia="en-IN"/>
        </w:rPr>
      </w:pPr>
      <w:r w:rsidRPr="00800048">
        <w:rPr>
          <w:rFonts w:ascii="Arial" w:eastAsia="Times New Roman" w:hAnsi="Arial" w:cs="Arial"/>
          <w:b/>
          <w:bCs/>
          <w:color w:val="000000"/>
          <w:sz w:val="20"/>
          <w:szCs w:val="20"/>
          <w:lang w:eastAsia="en-IN"/>
        </w:rPr>
        <w:t>6.3 Shelf life</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60 months.</w:t>
      </w:r>
    </w:p>
    <w:p w:rsidR="00800048" w:rsidRPr="00800048" w:rsidRDefault="00800048" w:rsidP="00800048">
      <w:pPr>
        <w:spacing w:after="0" w:line="240" w:lineRule="auto"/>
        <w:rPr>
          <w:rFonts w:ascii="Arial" w:eastAsia="Times New Roman" w:hAnsi="Arial" w:cs="Arial"/>
          <w:b/>
          <w:bCs/>
          <w:color w:val="000000"/>
          <w:sz w:val="20"/>
          <w:szCs w:val="20"/>
          <w:lang w:eastAsia="en-IN"/>
        </w:rPr>
      </w:pPr>
      <w:r w:rsidRPr="00800048">
        <w:rPr>
          <w:rFonts w:ascii="Arial" w:eastAsia="Times New Roman" w:hAnsi="Arial" w:cs="Arial"/>
          <w:b/>
          <w:bCs/>
          <w:color w:val="000000"/>
          <w:sz w:val="20"/>
          <w:szCs w:val="20"/>
          <w:lang w:eastAsia="en-IN"/>
        </w:rPr>
        <w:t>6.4 Special precautions for storage</w:t>
      </w:r>
    </w:p>
    <w:p w:rsidR="00800048" w:rsidRPr="00800048" w:rsidRDefault="00800048" w:rsidP="00800048">
      <w:pPr>
        <w:spacing w:after="143" w:line="240" w:lineRule="auto"/>
        <w:rPr>
          <w:rFonts w:ascii="Arial" w:eastAsia="Times New Roman" w:hAnsi="Arial" w:cs="Arial"/>
          <w:lang w:eastAsia="en-IN"/>
        </w:rPr>
      </w:pPr>
      <w:r w:rsidRPr="00800048">
        <w:rPr>
          <w:rFonts w:ascii="Arial" w:eastAsia="Times New Roman" w:hAnsi="Arial" w:cs="Arial"/>
          <w:lang w:eastAsia="en-IN"/>
        </w:rPr>
        <w:t>None stated.</w:t>
      </w:r>
    </w:p>
    <w:p w:rsidR="00800048" w:rsidRPr="00800048" w:rsidRDefault="00800048" w:rsidP="00800048">
      <w:pPr>
        <w:spacing w:after="0" w:line="240" w:lineRule="auto"/>
        <w:rPr>
          <w:rFonts w:ascii="Arial" w:eastAsia="Times New Roman" w:hAnsi="Arial" w:cs="Arial"/>
          <w:b/>
          <w:bCs/>
          <w:color w:val="000000"/>
          <w:sz w:val="20"/>
          <w:szCs w:val="20"/>
          <w:lang w:eastAsia="en-IN"/>
        </w:rPr>
      </w:pPr>
      <w:r w:rsidRPr="00800048">
        <w:rPr>
          <w:rFonts w:ascii="Arial" w:eastAsia="Times New Roman" w:hAnsi="Arial" w:cs="Arial"/>
          <w:b/>
          <w:bCs/>
          <w:color w:val="000000"/>
          <w:sz w:val="20"/>
          <w:szCs w:val="20"/>
          <w:lang w:eastAsia="en-IN"/>
        </w:rPr>
        <w:t>6.5 Nature and contents of container</w:t>
      </w:r>
    </w:p>
    <w:p w:rsidR="00AC1F46" w:rsidRDefault="00AC1F46" w:rsidP="00800048">
      <w:pPr>
        <w:spacing w:after="0" w:line="240" w:lineRule="auto"/>
        <w:rPr>
          <w:rFonts w:ascii="Arial" w:eastAsia="Times New Roman" w:hAnsi="Arial" w:cs="Arial"/>
          <w:b/>
          <w:bCs/>
          <w:color w:val="000000"/>
          <w:sz w:val="20"/>
          <w:szCs w:val="20"/>
          <w:lang w:eastAsia="en-IN"/>
        </w:rPr>
      </w:pPr>
      <w:proofErr w:type="spellStart"/>
      <w:r>
        <w:rPr>
          <w:rFonts w:ascii="Arial" w:eastAsia="Times New Roman" w:hAnsi="Arial" w:cs="Arial"/>
          <w:b/>
          <w:bCs/>
          <w:color w:val="000000"/>
          <w:sz w:val="20"/>
          <w:szCs w:val="20"/>
          <w:lang w:eastAsia="en-IN"/>
        </w:rPr>
        <w:lastRenderedPageBreak/>
        <w:t>Alu</w:t>
      </w:r>
      <w:proofErr w:type="spellEnd"/>
      <w:r>
        <w:rPr>
          <w:rFonts w:ascii="Arial" w:eastAsia="Times New Roman" w:hAnsi="Arial" w:cs="Arial"/>
          <w:b/>
          <w:bCs/>
          <w:color w:val="000000"/>
          <w:sz w:val="20"/>
          <w:szCs w:val="20"/>
          <w:lang w:eastAsia="en-IN"/>
        </w:rPr>
        <w:t xml:space="preserve"> </w:t>
      </w:r>
      <w:proofErr w:type="spellStart"/>
      <w:r>
        <w:rPr>
          <w:rFonts w:ascii="Arial" w:eastAsia="Times New Roman" w:hAnsi="Arial" w:cs="Arial"/>
          <w:b/>
          <w:bCs/>
          <w:color w:val="000000"/>
          <w:sz w:val="20"/>
          <w:szCs w:val="20"/>
          <w:lang w:eastAsia="en-IN"/>
        </w:rPr>
        <w:t>Alu</w:t>
      </w:r>
      <w:proofErr w:type="spellEnd"/>
      <w:r>
        <w:rPr>
          <w:rFonts w:ascii="Arial" w:eastAsia="Times New Roman" w:hAnsi="Arial" w:cs="Arial"/>
          <w:b/>
          <w:bCs/>
          <w:color w:val="000000"/>
          <w:sz w:val="20"/>
          <w:szCs w:val="20"/>
          <w:lang w:eastAsia="en-IN"/>
        </w:rPr>
        <w:t xml:space="preserve"> Blister Of 10 </w:t>
      </w:r>
      <w:proofErr w:type="gramStart"/>
      <w:r>
        <w:rPr>
          <w:rFonts w:ascii="Arial" w:eastAsia="Times New Roman" w:hAnsi="Arial" w:cs="Arial"/>
          <w:b/>
          <w:bCs/>
          <w:color w:val="000000"/>
          <w:sz w:val="20"/>
          <w:szCs w:val="20"/>
          <w:lang w:eastAsia="en-IN"/>
        </w:rPr>
        <w:t>Tablets .</w:t>
      </w:r>
      <w:proofErr w:type="gramEnd"/>
    </w:p>
    <w:p w:rsidR="00AC1F46" w:rsidRDefault="00AC1F46" w:rsidP="00800048">
      <w:pPr>
        <w:spacing w:after="0" w:line="240" w:lineRule="auto"/>
        <w:rPr>
          <w:rFonts w:ascii="Arial" w:eastAsia="Times New Roman" w:hAnsi="Arial" w:cs="Arial"/>
          <w:b/>
          <w:bCs/>
          <w:color w:val="000000"/>
          <w:sz w:val="20"/>
          <w:szCs w:val="20"/>
          <w:lang w:eastAsia="en-IN"/>
        </w:rPr>
      </w:pPr>
    </w:p>
    <w:p w:rsidR="00800048" w:rsidRPr="00800048" w:rsidRDefault="00800048" w:rsidP="00800048">
      <w:pPr>
        <w:spacing w:after="0" w:line="240" w:lineRule="auto"/>
        <w:rPr>
          <w:rFonts w:ascii="Arial" w:eastAsia="Times New Roman" w:hAnsi="Arial" w:cs="Arial"/>
          <w:b/>
          <w:bCs/>
          <w:color w:val="000000"/>
          <w:sz w:val="20"/>
          <w:szCs w:val="20"/>
          <w:lang w:eastAsia="en-IN"/>
        </w:rPr>
      </w:pPr>
      <w:r w:rsidRPr="00800048">
        <w:rPr>
          <w:rFonts w:ascii="Arial" w:eastAsia="Times New Roman" w:hAnsi="Arial" w:cs="Arial"/>
          <w:b/>
          <w:bCs/>
          <w:color w:val="000000"/>
          <w:sz w:val="20"/>
          <w:szCs w:val="20"/>
          <w:lang w:eastAsia="en-IN"/>
        </w:rPr>
        <w:t>6.6 Special precautions for disposal and other handling</w:t>
      </w:r>
    </w:p>
    <w:p w:rsidR="00800048" w:rsidRPr="00800048" w:rsidRDefault="00800048" w:rsidP="00AC1F46">
      <w:pPr>
        <w:spacing w:after="143" w:line="240" w:lineRule="auto"/>
        <w:rPr>
          <w:rFonts w:ascii="Arial" w:eastAsia="Times New Roman" w:hAnsi="Arial" w:cs="Arial"/>
          <w:lang w:eastAsia="en-IN"/>
        </w:rPr>
      </w:pPr>
    </w:p>
    <w:p w:rsidR="00800048" w:rsidRPr="00800048" w:rsidRDefault="00800048" w:rsidP="00800048">
      <w:pPr>
        <w:shd w:val="clear" w:color="auto" w:fill="142B61"/>
        <w:spacing w:after="143" w:line="270" w:lineRule="atLeast"/>
        <w:jc w:val="center"/>
        <w:rPr>
          <w:rFonts w:ascii="Helvetica" w:eastAsia="Times New Roman" w:hAnsi="Helvetica" w:cs="Helvetica"/>
          <w:color w:val="333333"/>
          <w:sz w:val="21"/>
          <w:szCs w:val="21"/>
          <w:lang w:eastAsia="en-IN"/>
        </w:rPr>
      </w:pPr>
      <w:r w:rsidRPr="00800048">
        <w:rPr>
          <w:rFonts w:ascii="Helvetica" w:eastAsia="Times New Roman" w:hAnsi="Helvetica" w:cs="Helvetica"/>
          <w:color w:val="333333"/>
          <w:sz w:val="21"/>
          <w:szCs w:val="21"/>
          <w:lang w:eastAsia="en-IN"/>
        </w:rPr>
        <w:t xml:space="preserve">By completing this short survey you can </w:t>
      </w:r>
      <w:r w:rsidR="00AC1F46">
        <w:rPr>
          <w:rFonts w:ascii="Helvetica" w:eastAsia="Times New Roman" w:hAnsi="Helvetica" w:cs="Helvetica"/>
          <w:color w:val="333333"/>
          <w:sz w:val="21"/>
          <w:szCs w:val="21"/>
          <w:lang w:eastAsia="en-IN"/>
        </w:rPr>
        <w:t>provide vital feedback t</w:t>
      </w:r>
    </w:p>
    <w:p w:rsidR="00862E0A" w:rsidRDefault="00862E0A"/>
    <w:p w:rsidR="00AC1F46" w:rsidRDefault="00AC1F46">
      <w:pPr>
        <w:rPr>
          <w:b/>
          <w:sz w:val="36"/>
        </w:rPr>
      </w:pPr>
      <w:r w:rsidRPr="00AC1F46">
        <w:rPr>
          <w:b/>
          <w:sz w:val="36"/>
        </w:rPr>
        <w:t xml:space="preserve">Sole </w:t>
      </w:r>
      <w:proofErr w:type="gramStart"/>
      <w:r w:rsidRPr="00AC1F46">
        <w:rPr>
          <w:b/>
          <w:sz w:val="36"/>
        </w:rPr>
        <w:t>Agent :</w:t>
      </w:r>
      <w:proofErr w:type="gramEnd"/>
      <w:r w:rsidRPr="00AC1F46">
        <w:rPr>
          <w:b/>
          <w:sz w:val="36"/>
        </w:rPr>
        <w:t xml:space="preserve">  Global Young </w:t>
      </w:r>
      <w:proofErr w:type="spellStart"/>
      <w:r w:rsidRPr="00AC1F46">
        <w:rPr>
          <w:b/>
          <w:sz w:val="36"/>
        </w:rPr>
        <w:t>Pharma</w:t>
      </w:r>
      <w:proofErr w:type="spellEnd"/>
      <w:r w:rsidRPr="00AC1F46">
        <w:rPr>
          <w:b/>
          <w:sz w:val="36"/>
        </w:rPr>
        <w:t xml:space="preserve"> LTD. </w:t>
      </w:r>
    </w:p>
    <w:p w:rsidR="00AC1F46" w:rsidRPr="00AC1F46" w:rsidRDefault="00AC1F46">
      <w:pPr>
        <w:rPr>
          <w:b/>
          <w:sz w:val="36"/>
        </w:rPr>
      </w:pPr>
      <w:r>
        <w:rPr>
          <w:b/>
          <w:sz w:val="36"/>
        </w:rPr>
        <w:t xml:space="preserve">NAFDAC REG. NO. : </w:t>
      </w:r>
      <w:bookmarkStart w:id="0" w:name="_GoBack"/>
      <w:bookmarkEnd w:id="0"/>
    </w:p>
    <w:sectPr w:rsidR="00AC1F46" w:rsidRPr="00AC1F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B12AE"/>
    <w:multiLevelType w:val="hybridMultilevel"/>
    <w:tmpl w:val="E9306652"/>
    <w:lvl w:ilvl="0" w:tplc="12767E26">
      <w:start w:val="2"/>
      <w:numFmt w:val="decimal"/>
      <w:lvlText w:val="%1)"/>
      <w:lvlJc w:val="left"/>
      <w:pPr>
        <w:ind w:left="270" w:hanging="360"/>
      </w:pPr>
      <w:rPr>
        <w:rFonts w:ascii="Times New Roman" w:hAnsi="Times New Roman" w:hint="default"/>
        <w:color w:val="auto"/>
        <w:sz w:val="24"/>
      </w:rPr>
    </w:lvl>
    <w:lvl w:ilvl="1" w:tplc="40090019" w:tentative="1">
      <w:start w:val="1"/>
      <w:numFmt w:val="lowerLetter"/>
      <w:lvlText w:val="%2."/>
      <w:lvlJc w:val="left"/>
      <w:pPr>
        <w:ind w:left="990" w:hanging="360"/>
      </w:pPr>
    </w:lvl>
    <w:lvl w:ilvl="2" w:tplc="4009001B" w:tentative="1">
      <w:start w:val="1"/>
      <w:numFmt w:val="lowerRoman"/>
      <w:lvlText w:val="%3."/>
      <w:lvlJc w:val="right"/>
      <w:pPr>
        <w:ind w:left="1710" w:hanging="180"/>
      </w:pPr>
    </w:lvl>
    <w:lvl w:ilvl="3" w:tplc="4009000F" w:tentative="1">
      <w:start w:val="1"/>
      <w:numFmt w:val="decimal"/>
      <w:lvlText w:val="%4."/>
      <w:lvlJc w:val="left"/>
      <w:pPr>
        <w:ind w:left="2430" w:hanging="360"/>
      </w:pPr>
    </w:lvl>
    <w:lvl w:ilvl="4" w:tplc="40090019" w:tentative="1">
      <w:start w:val="1"/>
      <w:numFmt w:val="lowerLetter"/>
      <w:lvlText w:val="%5."/>
      <w:lvlJc w:val="left"/>
      <w:pPr>
        <w:ind w:left="3150" w:hanging="360"/>
      </w:pPr>
    </w:lvl>
    <w:lvl w:ilvl="5" w:tplc="4009001B" w:tentative="1">
      <w:start w:val="1"/>
      <w:numFmt w:val="lowerRoman"/>
      <w:lvlText w:val="%6."/>
      <w:lvlJc w:val="right"/>
      <w:pPr>
        <w:ind w:left="3870" w:hanging="180"/>
      </w:pPr>
    </w:lvl>
    <w:lvl w:ilvl="6" w:tplc="4009000F" w:tentative="1">
      <w:start w:val="1"/>
      <w:numFmt w:val="decimal"/>
      <w:lvlText w:val="%7."/>
      <w:lvlJc w:val="left"/>
      <w:pPr>
        <w:ind w:left="4590" w:hanging="360"/>
      </w:pPr>
    </w:lvl>
    <w:lvl w:ilvl="7" w:tplc="40090019" w:tentative="1">
      <w:start w:val="1"/>
      <w:numFmt w:val="lowerLetter"/>
      <w:lvlText w:val="%8."/>
      <w:lvlJc w:val="left"/>
      <w:pPr>
        <w:ind w:left="5310" w:hanging="360"/>
      </w:pPr>
    </w:lvl>
    <w:lvl w:ilvl="8" w:tplc="4009001B" w:tentative="1">
      <w:start w:val="1"/>
      <w:numFmt w:val="lowerRoman"/>
      <w:lvlText w:val="%9."/>
      <w:lvlJc w:val="right"/>
      <w:pPr>
        <w:ind w:left="6030" w:hanging="180"/>
      </w:pPr>
    </w:lvl>
  </w:abstractNum>
  <w:abstractNum w:abstractNumId="1">
    <w:nsid w:val="0C4723EF"/>
    <w:multiLevelType w:val="multilevel"/>
    <w:tmpl w:val="8B04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B44234"/>
    <w:multiLevelType w:val="multilevel"/>
    <w:tmpl w:val="22EC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430BAC"/>
    <w:multiLevelType w:val="multilevel"/>
    <w:tmpl w:val="0B46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B0127C"/>
    <w:multiLevelType w:val="multilevel"/>
    <w:tmpl w:val="8504756A"/>
    <w:lvl w:ilvl="0">
      <w:start w:val="1"/>
      <w:numFmt w:val="bullet"/>
      <w:lvlText w:val=""/>
      <w:lvlJc w:val="left"/>
      <w:pPr>
        <w:tabs>
          <w:tab w:val="num" w:pos="4470"/>
        </w:tabs>
        <w:ind w:left="4470" w:hanging="360"/>
      </w:pPr>
      <w:rPr>
        <w:rFonts w:ascii="Symbol" w:hAnsi="Symbol" w:hint="default"/>
        <w:sz w:val="20"/>
      </w:rPr>
    </w:lvl>
    <w:lvl w:ilvl="1" w:tentative="1">
      <w:start w:val="1"/>
      <w:numFmt w:val="bullet"/>
      <w:lvlText w:val="o"/>
      <w:lvlJc w:val="left"/>
      <w:pPr>
        <w:tabs>
          <w:tab w:val="num" w:pos="5190"/>
        </w:tabs>
        <w:ind w:left="5190" w:hanging="360"/>
      </w:pPr>
      <w:rPr>
        <w:rFonts w:ascii="Courier New" w:hAnsi="Courier New" w:hint="default"/>
        <w:sz w:val="20"/>
      </w:rPr>
    </w:lvl>
    <w:lvl w:ilvl="2" w:tentative="1">
      <w:start w:val="1"/>
      <w:numFmt w:val="bullet"/>
      <w:lvlText w:val=""/>
      <w:lvlJc w:val="left"/>
      <w:pPr>
        <w:tabs>
          <w:tab w:val="num" w:pos="5910"/>
        </w:tabs>
        <w:ind w:left="5910" w:hanging="360"/>
      </w:pPr>
      <w:rPr>
        <w:rFonts w:ascii="Wingdings" w:hAnsi="Wingdings" w:hint="default"/>
        <w:sz w:val="20"/>
      </w:rPr>
    </w:lvl>
    <w:lvl w:ilvl="3" w:tentative="1">
      <w:start w:val="1"/>
      <w:numFmt w:val="bullet"/>
      <w:lvlText w:val=""/>
      <w:lvlJc w:val="left"/>
      <w:pPr>
        <w:tabs>
          <w:tab w:val="num" w:pos="6630"/>
        </w:tabs>
        <w:ind w:left="6630" w:hanging="360"/>
      </w:pPr>
      <w:rPr>
        <w:rFonts w:ascii="Wingdings" w:hAnsi="Wingdings" w:hint="default"/>
        <w:sz w:val="20"/>
      </w:rPr>
    </w:lvl>
    <w:lvl w:ilvl="4" w:tentative="1">
      <w:start w:val="1"/>
      <w:numFmt w:val="bullet"/>
      <w:lvlText w:val=""/>
      <w:lvlJc w:val="left"/>
      <w:pPr>
        <w:tabs>
          <w:tab w:val="num" w:pos="7350"/>
        </w:tabs>
        <w:ind w:left="7350" w:hanging="360"/>
      </w:pPr>
      <w:rPr>
        <w:rFonts w:ascii="Wingdings" w:hAnsi="Wingdings" w:hint="default"/>
        <w:sz w:val="20"/>
      </w:rPr>
    </w:lvl>
    <w:lvl w:ilvl="5" w:tentative="1">
      <w:start w:val="1"/>
      <w:numFmt w:val="bullet"/>
      <w:lvlText w:val=""/>
      <w:lvlJc w:val="left"/>
      <w:pPr>
        <w:tabs>
          <w:tab w:val="num" w:pos="8070"/>
        </w:tabs>
        <w:ind w:left="8070" w:hanging="360"/>
      </w:pPr>
      <w:rPr>
        <w:rFonts w:ascii="Wingdings" w:hAnsi="Wingdings" w:hint="default"/>
        <w:sz w:val="20"/>
      </w:rPr>
    </w:lvl>
    <w:lvl w:ilvl="6" w:tentative="1">
      <w:start w:val="1"/>
      <w:numFmt w:val="bullet"/>
      <w:lvlText w:val=""/>
      <w:lvlJc w:val="left"/>
      <w:pPr>
        <w:tabs>
          <w:tab w:val="num" w:pos="8790"/>
        </w:tabs>
        <w:ind w:left="8790" w:hanging="360"/>
      </w:pPr>
      <w:rPr>
        <w:rFonts w:ascii="Wingdings" w:hAnsi="Wingdings" w:hint="default"/>
        <w:sz w:val="20"/>
      </w:rPr>
    </w:lvl>
    <w:lvl w:ilvl="7" w:tentative="1">
      <w:start w:val="1"/>
      <w:numFmt w:val="bullet"/>
      <w:lvlText w:val=""/>
      <w:lvlJc w:val="left"/>
      <w:pPr>
        <w:tabs>
          <w:tab w:val="num" w:pos="9510"/>
        </w:tabs>
        <w:ind w:left="9510" w:hanging="360"/>
      </w:pPr>
      <w:rPr>
        <w:rFonts w:ascii="Wingdings" w:hAnsi="Wingdings" w:hint="default"/>
        <w:sz w:val="20"/>
      </w:rPr>
    </w:lvl>
    <w:lvl w:ilvl="8" w:tentative="1">
      <w:start w:val="1"/>
      <w:numFmt w:val="bullet"/>
      <w:lvlText w:val=""/>
      <w:lvlJc w:val="left"/>
      <w:pPr>
        <w:tabs>
          <w:tab w:val="num" w:pos="10230"/>
        </w:tabs>
        <w:ind w:left="10230" w:hanging="360"/>
      </w:pPr>
      <w:rPr>
        <w:rFonts w:ascii="Wingdings" w:hAnsi="Wingdings" w:hint="default"/>
        <w:sz w:val="20"/>
      </w:rPr>
    </w:lvl>
  </w:abstractNum>
  <w:abstractNum w:abstractNumId="5">
    <w:nsid w:val="4CA359AA"/>
    <w:multiLevelType w:val="multilevel"/>
    <w:tmpl w:val="3DE0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087B80"/>
    <w:multiLevelType w:val="multilevel"/>
    <w:tmpl w:val="52A85B6A"/>
    <w:lvl w:ilvl="0">
      <w:start w:val="1"/>
      <w:numFmt w:val="decimal"/>
      <w:lvlText w:val="%1"/>
      <w:lvlJc w:val="left"/>
      <w:pPr>
        <w:ind w:left="360" w:hanging="360"/>
      </w:pPr>
      <w:rPr>
        <w:rFonts w:ascii="Times New Roman" w:hAnsi="Times New Roman" w:hint="default"/>
        <w:color w:val="auto"/>
        <w:sz w:val="24"/>
      </w:rPr>
    </w:lvl>
    <w:lvl w:ilvl="1">
      <w:start w:val="1"/>
      <w:numFmt w:val="decimal"/>
      <w:lvlText w:val="%1.%2"/>
      <w:lvlJc w:val="left"/>
      <w:pPr>
        <w:ind w:left="-90" w:hanging="360"/>
      </w:pPr>
      <w:rPr>
        <w:rFonts w:ascii="Times New Roman" w:hAnsi="Times New Roman" w:hint="default"/>
        <w:color w:val="auto"/>
        <w:sz w:val="24"/>
      </w:rPr>
    </w:lvl>
    <w:lvl w:ilvl="2">
      <w:start w:val="1"/>
      <w:numFmt w:val="decimal"/>
      <w:lvlText w:val="%1.%2.%3"/>
      <w:lvlJc w:val="left"/>
      <w:pPr>
        <w:ind w:left="-180" w:hanging="720"/>
      </w:pPr>
      <w:rPr>
        <w:rFonts w:ascii="Times New Roman" w:hAnsi="Times New Roman" w:hint="default"/>
        <w:color w:val="auto"/>
        <w:sz w:val="24"/>
      </w:rPr>
    </w:lvl>
    <w:lvl w:ilvl="3">
      <w:start w:val="1"/>
      <w:numFmt w:val="decimal"/>
      <w:lvlText w:val="%1.%2.%3.%4"/>
      <w:lvlJc w:val="left"/>
      <w:pPr>
        <w:ind w:left="-630" w:hanging="720"/>
      </w:pPr>
      <w:rPr>
        <w:rFonts w:ascii="Times New Roman" w:hAnsi="Times New Roman" w:hint="default"/>
        <w:color w:val="auto"/>
        <w:sz w:val="24"/>
      </w:rPr>
    </w:lvl>
    <w:lvl w:ilvl="4">
      <w:start w:val="1"/>
      <w:numFmt w:val="decimal"/>
      <w:lvlText w:val="%1.%2.%3.%4.%5"/>
      <w:lvlJc w:val="left"/>
      <w:pPr>
        <w:ind w:left="-720" w:hanging="1080"/>
      </w:pPr>
      <w:rPr>
        <w:rFonts w:ascii="Times New Roman" w:hAnsi="Times New Roman" w:hint="default"/>
        <w:color w:val="auto"/>
        <w:sz w:val="24"/>
      </w:rPr>
    </w:lvl>
    <w:lvl w:ilvl="5">
      <w:start w:val="1"/>
      <w:numFmt w:val="decimal"/>
      <w:lvlText w:val="%1.%2.%3.%4.%5.%6"/>
      <w:lvlJc w:val="left"/>
      <w:pPr>
        <w:ind w:left="-1170" w:hanging="1080"/>
      </w:pPr>
      <w:rPr>
        <w:rFonts w:ascii="Times New Roman" w:hAnsi="Times New Roman" w:hint="default"/>
        <w:color w:val="auto"/>
        <w:sz w:val="24"/>
      </w:rPr>
    </w:lvl>
    <w:lvl w:ilvl="6">
      <w:start w:val="1"/>
      <w:numFmt w:val="decimal"/>
      <w:lvlText w:val="%1.%2.%3.%4.%5.%6.%7"/>
      <w:lvlJc w:val="left"/>
      <w:pPr>
        <w:ind w:left="-1260" w:hanging="1440"/>
      </w:pPr>
      <w:rPr>
        <w:rFonts w:ascii="Times New Roman" w:hAnsi="Times New Roman" w:hint="default"/>
        <w:color w:val="auto"/>
        <w:sz w:val="24"/>
      </w:rPr>
    </w:lvl>
    <w:lvl w:ilvl="7">
      <w:start w:val="1"/>
      <w:numFmt w:val="decimal"/>
      <w:lvlText w:val="%1.%2.%3.%4.%5.%6.%7.%8"/>
      <w:lvlJc w:val="left"/>
      <w:pPr>
        <w:ind w:left="-171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7">
    <w:nsid w:val="75A03A18"/>
    <w:multiLevelType w:val="multilevel"/>
    <w:tmpl w:val="BAA2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7"/>
  </w:num>
  <w:num w:numId="5">
    <w:abstractNumId w:val="1"/>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8F"/>
    <w:rsid w:val="000B2BC3"/>
    <w:rsid w:val="000F198F"/>
    <w:rsid w:val="0079703B"/>
    <w:rsid w:val="00800048"/>
    <w:rsid w:val="00862E0A"/>
    <w:rsid w:val="00952883"/>
    <w:rsid w:val="00AC1B93"/>
    <w:rsid w:val="00AC1F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6B025-6C1F-47E8-B591-35AC6C95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732858">
      <w:bodyDiv w:val="1"/>
      <w:marLeft w:val="0"/>
      <w:marRight w:val="0"/>
      <w:marTop w:val="0"/>
      <w:marBottom w:val="0"/>
      <w:divBdr>
        <w:top w:val="none" w:sz="0" w:space="0" w:color="auto"/>
        <w:left w:val="none" w:sz="0" w:space="0" w:color="auto"/>
        <w:bottom w:val="none" w:sz="0" w:space="0" w:color="auto"/>
        <w:right w:val="none" w:sz="0" w:space="0" w:color="auto"/>
      </w:divBdr>
      <w:divsChild>
        <w:div w:id="1283613476">
          <w:marLeft w:val="0"/>
          <w:marRight w:val="0"/>
          <w:marTop w:val="0"/>
          <w:marBottom w:val="300"/>
          <w:divBdr>
            <w:top w:val="none" w:sz="0" w:space="0" w:color="auto"/>
            <w:left w:val="none" w:sz="0" w:space="0" w:color="auto"/>
            <w:bottom w:val="none" w:sz="0" w:space="0" w:color="auto"/>
            <w:right w:val="none" w:sz="0" w:space="0" w:color="auto"/>
          </w:divBdr>
          <w:divsChild>
            <w:div w:id="217520388">
              <w:marLeft w:val="-225"/>
              <w:marRight w:val="-225"/>
              <w:marTop w:val="0"/>
              <w:marBottom w:val="0"/>
              <w:divBdr>
                <w:top w:val="none" w:sz="0" w:space="0" w:color="auto"/>
                <w:left w:val="none" w:sz="0" w:space="0" w:color="auto"/>
                <w:bottom w:val="none" w:sz="0" w:space="0" w:color="auto"/>
                <w:right w:val="none" w:sz="0" w:space="0" w:color="auto"/>
              </w:divBdr>
              <w:divsChild>
                <w:div w:id="1634867809">
                  <w:marLeft w:val="0"/>
                  <w:marRight w:val="0"/>
                  <w:marTop w:val="0"/>
                  <w:marBottom w:val="0"/>
                  <w:divBdr>
                    <w:top w:val="none" w:sz="0" w:space="0" w:color="auto"/>
                    <w:left w:val="none" w:sz="0" w:space="0" w:color="auto"/>
                    <w:bottom w:val="none" w:sz="0" w:space="0" w:color="auto"/>
                    <w:right w:val="none" w:sz="0" w:space="0" w:color="auto"/>
                  </w:divBdr>
                  <w:divsChild>
                    <w:div w:id="3889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7548">
          <w:marLeft w:val="0"/>
          <w:marRight w:val="0"/>
          <w:marTop w:val="0"/>
          <w:marBottom w:val="0"/>
          <w:divBdr>
            <w:top w:val="none" w:sz="0" w:space="0" w:color="auto"/>
            <w:left w:val="none" w:sz="0" w:space="0" w:color="auto"/>
            <w:bottom w:val="none" w:sz="0" w:space="0" w:color="auto"/>
            <w:right w:val="none" w:sz="0" w:space="0" w:color="auto"/>
          </w:divBdr>
          <w:divsChild>
            <w:div w:id="827091119">
              <w:marLeft w:val="-225"/>
              <w:marRight w:val="-225"/>
              <w:marTop w:val="0"/>
              <w:marBottom w:val="0"/>
              <w:divBdr>
                <w:top w:val="none" w:sz="0" w:space="0" w:color="auto"/>
                <w:left w:val="none" w:sz="0" w:space="0" w:color="auto"/>
                <w:bottom w:val="none" w:sz="0" w:space="0" w:color="auto"/>
                <w:right w:val="none" w:sz="0" w:space="0" w:color="auto"/>
              </w:divBdr>
              <w:divsChild>
                <w:div w:id="2052025285">
                  <w:marLeft w:val="0"/>
                  <w:marRight w:val="0"/>
                  <w:marTop w:val="0"/>
                  <w:marBottom w:val="0"/>
                  <w:divBdr>
                    <w:top w:val="none" w:sz="0" w:space="0" w:color="auto"/>
                    <w:left w:val="none" w:sz="0" w:space="0" w:color="auto"/>
                    <w:bottom w:val="none" w:sz="0" w:space="0" w:color="auto"/>
                    <w:right w:val="none" w:sz="0" w:space="0" w:color="auto"/>
                  </w:divBdr>
                  <w:divsChild>
                    <w:div w:id="983585273">
                      <w:marLeft w:val="-225"/>
                      <w:marRight w:val="-225"/>
                      <w:marTop w:val="0"/>
                      <w:marBottom w:val="0"/>
                      <w:divBdr>
                        <w:top w:val="none" w:sz="0" w:space="0" w:color="auto"/>
                        <w:left w:val="none" w:sz="0" w:space="0" w:color="auto"/>
                        <w:bottom w:val="none" w:sz="0" w:space="0" w:color="auto"/>
                        <w:right w:val="none" w:sz="0" w:space="0" w:color="auto"/>
                      </w:divBdr>
                      <w:divsChild>
                        <w:div w:id="333189323">
                          <w:marLeft w:val="0"/>
                          <w:marRight w:val="0"/>
                          <w:marTop w:val="0"/>
                          <w:marBottom w:val="0"/>
                          <w:divBdr>
                            <w:top w:val="none" w:sz="0" w:space="0" w:color="auto"/>
                            <w:left w:val="none" w:sz="0" w:space="0" w:color="auto"/>
                            <w:bottom w:val="none" w:sz="0" w:space="0" w:color="auto"/>
                            <w:right w:val="none" w:sz="0" w:space="0" w:color="auto"/>
                          </w:divBdr>
                        </w:div>
                      </w:divsChild>
                    </w:div>
                    <w:div w:id="863202852">
                      <w:marLeft w:val="-225"/>
                      <w:marRight w:val="-225"/>
                      <w:marTop w:val="225"/>
                      <w:marBottom w:val="225"/>
                      <w:divBdr>
                        <w:top w:val="none" w:sz="0" w:space="0" w:color="auto"/>
                        <w:left w:val="none" w:sz="0" w:space="0" w:color="auto"/>
                        <w:bottom w:val="none" w:sz="0" w:space="0" w:color="auto"/>
                        <w:right w:val="none" w:sz="0" w:space="0" w:color="auto"/>
                      </w:divBdr>
                      <w:divsChild>
                        <w:div w:id="180945913">
                          <w:marLeft w:val="0"/>
                          <w:marRight w:val="0"/>
                          <w:marTop w:val="0"/>
                          <w:marBottom w:val="0"/>
                          <w:divBdr>
                            <w:top w:val="none" w:sz="0" w:space="0" w:color="auto"/>
                            <w:left w:val="none" w:sz="0" w:space="0" w:color="auto"/>
                            <w:bottom w:val="none" w:sz="0" w:space="0" w:color="auto"/>
                            <w:right w:val="none" w:sz="0" w:space="0" w:color="auto"/>
                          </w:divBdr>
                        </w:div>
                        <w:div w:id="20934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3503">
                  <w:marLeft w:val="0"/>
                  <w:marRight w:val="0"/>
                  <w:marTop w:val="0"/>
                  <w:marBottom w:val="0"/>
                  <w:divBdr>
                    <w:top w:val="none" w:sz="0" w:space="0" w:color="auto"/>
                    <w:left w:val="none" w:sz="0" w:space="0" w:color="auto"/>
                    <w:bottom w:val="none" w:sz="0" w:space="0" w:color="auto"/>
                    <w:right w:val="none" w:sz="0" w:space="0" w:color="auto"/>
                  </w:divBdr>
                  <w:divsChild>
                    <w:div w:id="1552501456">
                      <w:marLeft w:val="0"/>
                      <w:marRight w:val="0"/>
                      <w:marTop w:val="0"/>
                      <w:marBottom w:val="300"/>
                      <w:divBdr>
                        <w:top w:val="single" w:sz="6" w:space="8" w:color="DDDDDD"/>
                        <w:left w:val="single" w:sz="6" w:space="8" w:color="DDDDDD"/>
                        <w:bottom w:val="single" w:sz="6" w:space="8" w:color="DDDDDD"/>
                        <w:right w:val="single" w:sz="6" w:space="8" w:color="DDDDDD"/>
                      </w:divBdr>
                    </w:div>
                  </w:divsChild>
                </w:div>
              </w:divsChild>
            </w:div>
            <w:div w:id="91635422">
              <w:marLeft w:val="-225"/>
              <w:marRight w:val="-225"/>
              <w:marTop w:val="0"/>
              <w:marBottom w:val="0"/>
              <w:divBdr>
                <w:top w:val="none" w:sz="0" w:space="0" w:color="auto"/>
                <w:left w:val="none" w:sz="0" w:space="0" w:color="auto"/>
                <w:bottom w:val="none" w:sz="0" w:space="0" w:color="auto"/>
                <w:right w:val="none" w:sz="0" w:space="0" w:color="auto"/>
              </w:divBdr>
              <w:divsChild>
                <w:div w:id="1939099000">
                  <w:marLeft w:val="0"/>
                  <w:marRight w:val="0"/>
                  <w:marTop w:val="0"/>
                  <w:marBottom w:val="0"/>
                  <w:divBdr>
                    <w:top w:val="none" w:sz="0" w:space="0" w:color="auto"/>
                    <w:left w:val="none" w:sz="0" w:space="0" w:color="auto"/>
                    <w:bottom w:val="none" w:sz="0" w:space="0" w:color="auto"/>
                    <w:right w:val="none" w:sz="0" w:space="0" w:color="auto"/>
                  </w:divBdr>
                </w:div>
              </w:divsChild>
            </w:div>
            <w:div w:id="537355490">
              <w:marLeft w:val="-225"/>
              <w:marRight w:val="-225"/>
              <w:marTop w:val="0"/>
              <w:marBottom w:val="0"/>
              <w:divBdr>
                <w:top w:val="none" w:sz="0" w:space="0" w:color="auto"/>
                <w:left w:val="none" w:sz="0" w:space="0" w:color="auto"/>
                <w:bottom w:val="none" w:sz="0" w:space="0" w:color="auto"/>
                <w:right w:val="none" w:sz="0" w:space="0" w:color="auto"/>
              </w:divBdr>
              <w:divsChild>
                <w:div w:id="334236660">
                  <w:marLeft w:val="0"/>
                  <w:marRight w:val="0"/>
                  <w:marTop w:val="0"/>
                  <w:marBottom w:val="0"/>
                  <w:divBdr>
                    <w:top w:val="none" w:sz="0" w:space="0" w:color="auto"/>
                    <w:left w:val="none" w:sz="0" w:space="0" w:color="auto"/>
                    <w:bottom w:val="none" w:sz="0" w:space="0" w:color="auto"/>
                    <w:right w:val="none" w:sz="0" w:space="0" w:color="auto"/>
                  </w:divBdr>
                  <w:divsChild>
                    <w:div w:id="1954554683">
                      <w:marLeft w:val="0"/>
                      <w:marRight w:val="0"/>
                      <w:marTop w:val="0"/>
                      <w:marBottom w:val="150"/>
                      <w:divBdr>
                        <w:top w:val="none" w:sz="0" w:space="0" w:color="auto"/>
                        <w:left w:val="none" w:sz="0" w:space="0" w:color="auto"/>
                        <w:bottom w:val="none" w:sz="0" w:space="0" w:color="auto"/>
                        <w:right w:val="none" w:sz="0" w:space="0" w:color="auto"/>
                      </w:divBdr>
                      <w:divsChild>
                        <w:div w:id="1308701499">
                          <w:marLeft w:val="0"/>
                          <w:marRight w:val="0"/>
                          <w:marTop w:val="0"/>
                          <w:marBottom w:val="0"/>
                          <w:divBdr>
                            <w:top w:val="none" w:sz="0" w:space="0" w:color="auto"/>
                            <w:left w:val="none" w:sz="0" w:space="0" w:color="auto"/>
                            <w:bottom w:val="none" w:sz="0" w:space="0" w:color="auto"/>
                            <w:right w:val="none" w:sz="0" w:space="0" w:color="auto"/>
                          </w:divBdr>
                          <w:divsChild>
                            <w:div w:id="800072498">
                              <w:marLeft w:val="0"/>
                              <w:marRight w:val="0"/>
                              <w:marTop w:val="0"/>
                              <w:marBottom w:val="0"/>
                              <w:divBdr>
                                <w:top w:val="none" w:sz="0" w:space="0" w:color="auto"/>
                                <w:left w:val="none" w:sz="0" w:space="0" w:color="auto"/>
                                <w:bottom w:val="none" w:sz="0" w:space="0" w:color="auto"/>
                                <w:right w:val="none" w:sz="0" w:space="0" w:color="auto"/>
                              </w:divBdr>
                              <w:divsChild>
                                <w:div w:id="1319193289">
                                  <w:marLeft w:val="0"/>
                                  <w:marRight w:val="0"/>
                                  <w:marTop w:val="0"/>
                                  <w:marBottom w:val="300"/>
                                  <w:divBdr>
                                    <w:top w:val="single" w:sz="6" w:space="8" w:color="DDDDDD"/>
                                    <w:left w:val="single" w:sz="6" w:space="8" w:color="DDDDDD"/>
                                    <w:bottom w:val="single" w:sz="6" w:space="8" w:color="DDDDDD"/>
                                    <w:right w:val="single" w:sz="6" w:space="8" w:color="DDDDDD"/>
                                  </w:divBdr>
                                </w:div>
                                <w:div w:id="1618491140">
                                  <w:marLeft w:val="0"/>
                                  <w:marRight w:val="0"/>
                                  <w:marTop w:val="0"/>
                                  <w:marBottom w:val="300"/>
                                  <w:divBdr>
                                    <w:top w:val="single" w:sz="6" w:space="8" w:color="1F803F"/>
                                    <w:left w:val="single" w:sz="6" w:space="8" w:color="1F803F"/>
                                    <w:bottom w:val="single" w:sz="6" w:space="8" w:color="1F803F"/>
                                    <w:right w:val="single" w:sz="6" w:space="8" w:color="1F803F"/>
                                  </w:divBdr>
                                </w:div>
                              </w:divsChild>
                            </w:div>
                            <w:div w:id="1601185747">
                              <w:marLeft w:val="0"/>
                              <w:marRight w:val="0"/>
                              <w:marTop w:val="0"/>
                              <w:marBottom w:val="0"/>
                              <w:divBdr>
                                <w:top w:val="none" w:sz="0" w:space="0" w:color="auto"/>
                                <w:left w:val="single" w:sz="6" w:space="8" w:color="1F803F"/>
                                <w:bottom w:val="single" w:sz="6" w:space="8" w:color="1F803F"/>
                                <w:right w:val="single" w:sz="6" w:space="8" w:color="1F803F"/>
                              </w:divBdr>
                              <w:divsChild>
                                <w:div w:id="26104136">
                                  <w:marLeft w:val="0"/>
                                  <w:marRight w:val="0"/>
                                  <w:marTop w:val="0"/>
                                  <w:marBottom w:val="0"/>
                                  <w:divBdr>
                                    <w:top w:val="none" w:sz="0" w:space="0" w:color="auto"/>
                                    <w:left w:val="none" w:sz="0" w:space="0" w:color="auto"/>
                                    <w:bottom w:val="none" w:sz="0" w:space="0" w:color="auto"/>
                                    <w:right w:val="none" w:sz="0" w:space="0" w:color="auto"/>
                                  </w:divBdr>
                                  <w:divsChild>
                                    <w:div w:id="886913954">
                                      <w:marLeft w:val="0"/>
                                      <w:marRight w:val="0"/>
                                      <w:marTop w:val="150"/>
                                      <w:marBottom w:val="150"/>
                                      <w:divBdr>
                                        <w:top w:val="single" w:sz="6" w:space="8" w:color="000000"/>
                                        <w:left w:val="none" w:sz="0" w:space="0" w:color="auto"/>
                                        <w:bottom w:val="none" w:sz="0" w:space="0" w:color="auto"/>
                                        <w:right w:val="none" w:sz="0" w:space="0" w:color="auto"/>
                                      </w:divBdr>
                                    </w:div>
                                    <w:div w:id="1466006960">
                                      <w:marLeft w:val="0"/>
                                      <w:marRight w:val="0"/>
                                      <w:marTop w:val="0"/>
                                      <w:marBottom w:val="0"/>
                                      <w:divBdr>
                                        <w:top w:val="none" w:sz="0" w:space="0" w:color="auto"/>
                                        <w:left w:val="none" w:sz="0" w:space="0" w:color="auto"/>
                                        <w:bottom w:val="none" w:sz="0" w:space="0" w:color="auto"/>
                                        <w:right w:val="none" w:sz="0" w:space="0" w:color="auto"/>
                                      </w:divBdr>
                                    </w:div>
                                    <w:div w:id="1906069186">
                                      <w:marLeft w:val="0"/>
                                      <w:marRight w:val="0"/>
                                      <w:marTop w:val="150"/>
                                      <w:marBottom w:val="150"/>
                                      <w:divBdr>
                                        <w:top w:val="single" w:sz="6" w:space="8" w:color="000000"/>
                                        <w:left w:val="none" w:sz="0" w:space="0" w:color="auto"/>
                                        <w:bottom w:val="none" w:sz="0" w:space="0" w:color="auto"/>
                                        <w:right w:val="none" w:sz="0" w:space="0" w:color="auto"/>
                                      </w:divBdr>
                                    </w:div>
                                    <w:div w:id="5451069">
                                      <w:marLeft w:val="0"/>
                                      <w:marRight w:val="0"/>
                                      <w:marTop w:val="0"/>
                                      <w:marBottom w:val="0"/>
                                      <w:divBdr>
                                        <w:top w:val="none" w:sz="0" w:space="0" w:color="auto"/>
                                        <w:left w:val="none" w:sz="0" w:space="0" w:color="auto"/>
                                        <w:bottom w:val="none" w:sz="0" w:space="0" w:color="auto"/>
                                        <w:right w:val="none" w:sz="0" w:space="0" w:color="auto"/>
                                      </w:divBdr>
                                    </w:div>
                                    <w:div w:id="18629711">
                                      <w:marLeft w:val="0"/>
                                      <w:marRight w:val="0"/>
                                      <w:marTop w:val="150"/>
                                      <w:marBottom w:val="150"/>
                                      <w:divBdr>
                                        <w:top w:val="single" w:sz="6" w:space="8" w:color="000000"/>
                                        <w:left w:val="none" w:sz="0" w:space="0" w:color="auto"/>
                                        <w:bottom w:val="none" w:sz="0" w:space="0" w:color="auto"/>
                                        <w:right w:val="none" w:sz="0" w:space="0" w:color="auto"/>
                                      </w:divBdr>
                                    </w:div>
                                    <w:div w:id="492843962">
                                      <w:marLeft w:val="0"/>
                                      <w:marRight w:val="0"/>
                                      <w:marTop w:val="0"/>
                                      <w:marBottom w:val="0"/>
                                      <w:divBdr>
                                        <w:top w:val="none" w:sz="0" w:space="0" w:color="auto"/>
                                        <w:left w:val="none" w:sz="0" w:space="0" w:color="auto"/>
                                        <w:bottom w:val="none" w:sz="0" w:space="0" w:color="auto"/>
                                        <w:right w:val="none" w:sz="0" w:space="0" w:color="auto"/>
                                      </w:divBdr>
                                    </w:div>
                                    <w:div w:id="1966084076">
                                      <w:marLeft w:val="0"/>
                                      <w:marRight w:val="0"/>
                                      <w:marTop w:val="150"/>
                                      <w:marBottom w:val="150"/>
                                      <w:divBdr>
                                        <w:top w:val="single" w:sz="6" w:space="8" w:color="000000"/>
                                        <w:left w:val="none" w:sz="0" w:space="0" w:color="auto"/>
                                        <w:bottom w:val="none" w:sz="0" w:space="0" w:color="auto"/>
                                        <w:right w:val="none" w:sz="0" w:space="0" w:color="auto"/>
                                      </w:divBdr>
                                    </w:div>
                                    <w:div w:id="1867520314">
                                      <w:marLeft w:val="0"/>
                                      <w:marRight w:val="0"/>
                                      <w:marTop w:val="0"/>
                                      <w:marBottom w:val="0"/>
                                      <w:divBdr>
                                        <w:top w:val="none" w:sz="0" w:space="0" w:color="auto"/>
                                        <w:left w:val="none" w:sz="0" w:space="0" w:color="auto"/>
                                        <w:bottom w:val="none" w:sz="0" w:space="0" w:color="auto"/>
                                        <w:right w:val="none" w:sz="0" w:space="0" w:color="auto"/>
                                      </w:divBdr>
                                    </w:div>
                                    <w:div w:id="1123815666">
                                      <w:marLeft w:val="0"/>
                                      <w:marRight w:val="0"/>
                                      <w:marTop w:val="0"/>
                                      <w:marBottom w:val="0"/>
                                      <w:divBdr>
                                        <w:top w:val="none" w:sz="0" w:space="0" w:color="auto"/>
                                        <w:left w:val="none" w:sz="0" w:space="0" w:color="auto"/>
                                        <w:bottom w:val="none" w:sz="0" w:space="0" w:color="auto"/>
                                        <w:right w:val="none" w:sz="0" w:space="0" w:color="auto"/>
                                      </w:divBdr>
                                    </w:div>
                                    <w:div w:id="872613481">
                                      <w:marLeft w:val="0"/>
                                      <w:marRight w:val="0"/>
                                      <w:marTop w:val="0"/>
                                      <w:marBottom w:val="0"/>
                                      <w:divBdr>
                                        <w:top w:val="none" w:sz="0" w:space="0" w:color="auto"/>
                                        <w:left w:val="none" w:sz="0" w:space="0" w:color="auto"/>
                                        <w:bottom w:val="none" w:sz="0" w:space="0" w:color="auto"/>
                                        <w:right w:val="none" w:sz="0" w:space="0" w:color="auto"/>
                                      </w:divBdr>
                                    </w:div>
                                    <w:div w:id="1890266422">
                                      <w:marLeft w:val="0"/>
                                      <w:marRight w:val="0"/>
                                      <w:marTop w:val="0"/>
                                      <w:marBottom w:val="0"/>
                                      <w:divBdr>
                                        <w:top w:val="none" w:sz="0" w:space="0" w:color="auto"/>
                                        <w:left w:val="none" w:sz="0" w:space="0" w:color="auto"/>
                                        <w:bottom w:val="none" w:sz="0" w:space="0" w:color="auto"/>
                                        <w:right w:val="none" w:sz="0" w:space="0" w:color="auto"/>
                                      </w:divBdr>
                                    </w:div>
                                    <w:div w:id="354770908">
                                      <w:marLeft w:val="0"/>
                                      <w:marRight w:val="0"/>
                                      <w:marTop w:val="0"/>
                                      <w:marBottom w:val="0"/>
                                      <w:divBdr>
                                        <w:top w:val="none" w:sz="0" w:space="0" w:color="auto"/>
                                        <w:left w:val="none" w:sz="0" w:space="0" w:color="auto"/>
                                        <w:bottom w:val="none" w:sz="0" w:space="0" w:color="auto"/>
                                        <w:right w:val="none" w:sz="0" w:space="0" w:color="auto"/>
                                      </w:divBdr>
                                    </w:div>
                                    <w:div w:id="530730231">
                                      <w:marLeft w:val="0"/>
                                      <w:marRight w:val="0"/>
                                      <w:marTop w:val="0"/>
                                      <w:marBottom w:val="0"/>
                                      <w:divBdr>
                                        <w:top w:val="none" w:sz="0" w:space="0" w:color="auto"/>
                                        <w:left w:val="none" w:sz="0" w:space="0" w:color="auto"/>
                                        <w:bottom w:val="none" w:sz="0" w:space="0" w:color="auto"/>
                                        <w:right w:val="none" w:sz="0" w:space="0" w:color="auto"/>
                                      </w:divBdr>
                                    </w:div>
                                    <w:div w:id="1098136560">
                                      <w:marLeft w:val="0"/>
                                      <w:marRight w:val="0"/>
                                      <w:marTop w:val="0"/>
                                      <w:marBottom w:val="0"/>
                                      <w:divBdr>
                                        <w:top w:val="none" w:sz="0" w:space="0" w:color="auto"/>
                                        <w:left w:val="none" w:sz="0" w:space="0" w:color="auto"/>
                                        <w:bottom w:val="none" w:sz="0" w:space="0" w:color="auto"/>
                                        <w:right w:val="none" w:sz="0" w:space="0" w:color="auto"/>
                                      </w:divBdr>
                                    </w:div>
                                    <w:div w:id="1907301791">
                                      <w:marLeft w:val="0"/>
                                      <w:marRight w:val="0"/>
                                      <w:marTop w:val="0"/>
                                      <w:marBottom w:val="0"/>
                                      <w:divBdr>
                                        <w:top w:val="none" w:sz="0" w:space="0" w:color="auto"/>
                                        <w:left w:val="none" w:sz="0" w:space="0" w:color="auto"/>
                                        <w:bottom w:val="none" w:sz="0" w:space="0" w:color="auto"/>
                                        <w:right w:val="none" w:sz="0" w:space="0" w:color="auto"/>
                                      </w:divBdr>
                                    </w:div>
                                    <w:div w:id="2059551824">
                                      <w:marLeft w:val="0"/>
                                      <w:marRight w:val="0"/>
                                      <w:marTop w:val="0"/>
                                      <w:marBottom w:val="0"/>
                                      <w:divBdr>
                                        <w:top w:val="none" w:sz="0" w:space="0" w:color="auto"/>
                                        <w:left w:val="none" w:sz="0" w:space="0" w:color="auto"/>
                                        <w:bottom w:val="none" w:sz="0" w:space="0" w:color="auto"/>
                                        <w:right w:val="none" w:sz="0" w:space="0" w:color="auto"/>
                                      </w:divBdr>
                                    </w:div>
                                    <w:div w:id="1352682219">
                                      <w:marLeft w:val="0"/>
                                      <w:marRight w:val="0"/>
                                      <w:marTop w:val="0"/>
                                      <w:marBottom w:val="0"/>
                                      <w:divBdr>
                                        <w:top w:val="none" w:sz="0" w:space="0" w:color="auto"/>
                                        <w:left w:val="none" w:sz="0" w:space="0" w:color="auto"/>
                                        <w:bottom w:val="none" w:sz="0" w:space="0" w:color="auto"/>
                                        <w:right w:val="none" w:sz="0" w:space="0" w:color="auto"/>
                                      </w:divBdr>
                                    </w:div>
                                    <w:div w:id="808792192">
                                      <w:marLeft w:val="0"/>
                                      <w:marRight w:val="0"/>
                                      <w:marTop w:val="0"/>
                                      <w:marBottom w:val="0"/>
                                      <w:divBdr>
                                        <w:top w:val="none" w:sz="0" w:space="0" w:color="auto"/>
                                        <w:left w:val="none" w:sz="0" w:space="0" w:color="auto"/>
                                        <w:bottom w:val="none" w:sz="0" w:space="0" w:color="auto"/>
                                        <w:right w:val="none" w:sz="0" w:space="0" w:color="auto"/>
                                      </w:divBdr>
                                    </w:div>
                                    <w:div w:id="877666683">
                                      <w:marLeft w:val="0"/>
                                      <w:marRight w:val="0"/>
                                      <w:marTop w:val="0"/>
                                      <w:marBottom w:val="0"/>
                                      <w:divBdr>
                                        <w:top w:val="none" w:sz="0" w:space="0" w:color="auto"/>
                                        <w:left w:val="none" w:sz="0" w:space="0" w:color="auto"/>
                                        <w:bottom w:val="none" w:sz="0" w:space="0" w:color="auto"/>
                                        <w:right w:val="none" w:sz="0" w:space="0" w:color="auto"/>
                                      </w:divBdr>
                                    </w:div>
                                    <w:div w:id="1933122687">
                                      <w:marLeft w:val="0"/>
                                      <w:marRight w:val="0"/>
                                      <w:marTop w:val="0"/>
                                      <w:marBottom w:val="0"/>
                                      <w:divBdr>
                                        <w:top w:val="none" w:sz="0" w:space="0" w:color="auto"/>
                                        <w:left w:val="none" w:sz="0" w:space="0" w:color="auto"/>
                                        <w:bottom w:val="none" w:sz="0" w:space="0" w:color="auto"/>
                                        <w:right w:val="none" w:sz="0" w:space="0" w:color="auto"/>
                                      </w:divBdr>
                                    </w:div>
                                    <w:div w:id="1046417809">
                                      <w:marLeft w:val="0"/>
                                      <w:marRight w:val="0"/>
                                      <w:marTop w:val="0"/>
                                      <w:marBottom w:val="0"/>
                                      <w:divBdr>
                                        <w:top w:val="none" w:sz="0" w:space="0" w:color="auto"/>
                                        <w:left w:val="none" w:sz="0" w:space="0" w:color="auto"/>
                                        <w:bottom w:val="none" w:sz="0" w:space="0" w:color="auto"/>
                                        <w:right w:val="none" w:sz="0" w:space="0" w:color="auto"/>
                                      </w:divBdr>
                                    </w:div>
                                    <w:div w:id="1667435855">
                                      <w:marLeft w:val="0"/>
                                      <w:marRight w:val="0"/>
                                      <w:marTop w:val="0"/>
                                      <w:marBottom w:val="0"/>
                                      <w:divBdr>
                                        <w:top w:val="none" w:sz="0" w:space="0" w:color="auto"/>
                                        <w:left w:val="none" w:sz="0" w:space="0" w:color="auto"/>
                                        <w:bottom w:val="none" w:sz="0" w:space="0" w:color="auto"/>
                                        <w:right w:val="none" w:sz="0" w:space="0" w:color="auto"/>
                                      </w:divBdr>
                                    </w:div>
                                    <w:div w:id="617759058">
                                      <w:marLeft w:val="0"/>
                                      <w:marRight w:val="0"/>
                                      <w:marTop w:val="0"/>
                                      <w:marBottom w:val="0"/>
                                      <w:divBdr>
                                        <w:top w:val="none" w:sz="0" w:space="0" w:color="auto"/>
                                        <w:left w:val="none" w:sz="0" w:space="0" w:color="auto"/>
                                        <w:bottom w:val="none" w:sz="0" w:space="0" w:color="auto"/>
                                        <w:right w:val="none" w:sz="0" w:space="0" w:color="auto"/>
                                      </w:divBdr>
                                    </w:div>
                                    <w:div w:id="355738764">
                                      <w:marLeft w:val="0"/>
                                      <w:marRight w:val="0"/>
                                      <w:marTop w:val="0"/>
                                      <w:marBottom w:val="0"/>
                                      <w:divBdr>
                                        <w:top w:val="none" w:sz="0" w:space="0" w:color="auto"/>
                                        <w:left w:val="none" w:sz="0" w:space="0" w:color="auto"/>
                                        <w:bottom w:val="none" w:sz="0" w:space="0" w:color="auto"/>
                                        <w:right w:val="none" w:sz="0" w:space="0" w:color="auto"/>
                                      </w:divBdr>
                                    </w:div>
                                    <w:div w:id="878206220">
                                      <w:marLeft w:val="0"/>
                                      <w:marRight w:val="0"/>
                                      <w:marTop w:val="0"/>
                                      <w:marBottom w:val="0"/>
                                      <w:divBdr>
                                        <w:top w:val="none" w:sz="0" w:space="0" w:color="auto"/>
                                        <w:left w:val="none" w:sz="0" w:space="0" w:color="auto"/>
                                        <w:bottom w:val="none" w:sz="0" w:space="0" w:color="auto"/>
                                        <w:right w:val="none" w:sz="0" w:space="0" w:color="auto"/>
                                      </w:divBdr>
                                    </w:div>
                                    <w:div w:id="753354720">
                                      <w:marLeft w:val="0"/>
                                      <w:marRight w:val="0"/>
                                      <w:marTop w:val="150"/>
                                      <w:marBottom w:val="150"/>
                                      <w:divBdr>
                                        <w:top w:val="single" w:sz="6" w:space="8" w:color="000000"/>
                                        <w:left w:val="none" w:sz="0" w:space="0" w:color="auto"/>
                                        <w:bottom w:val="none" w:sz="0" w:space="0" w:color="auto"/>
                                        <w:right w:val="none" w:sz="0" w:space="0" w:color="auto"/>
                                      </w:divBdr>
                                    </w:div>
                                    <w:div w:id="1975257944">
                                      <w:marLeft w:val="0"/>
                                      <w:marRight w:val="0"/>
                                      <w:marTop w:val="0"/>
                                      <w:marBottom w:val="0"/>
                                      <w:divBdr>
                                        <w:top w:val="none" w:sz="0" w:space="0" w:color="auto"/>
                                        <w:left w:val="none" w:sz="0" w:space="0" w:color="auto"/>
                                        <w:bottom w:val="none" w:sz="0" w:space="0" w:color="auto"/>
                                        <w:right w:val="none" w:sz="0" w:space="0" w:color="auto"/>
                                      </w:divBdr>
                                    </w:div>
                                    <w:div w:id="1212613741">
                                      <w:marLeft w:val="0"/>
                                      <w:marRight w:val="0"/>
                                      <w:marTop w:val="0"/>
                                      <w:marBottom w:val="0"/>
                                      <w:divBdr>
                                        <w:top w:val="none" w:sz="0" w:space="0" w:color="auto"/>
                                        <w:left w:val="none" w:sz="0" w:space="0" w:color="auto"/>
                                        <w:bottom w:val="none" w:sz="0" w:space="0" w:color="auto"/>
                                        <w:right w:val="none" w:sz="0" w:space="0" w:color="auto"/>
                                      </w:divBdr>
                                    </w:div>
                                    <w:div w:id="1415592896">
                                      <w:marLeft w:val="0"/>
                                      <w:marRight w:val="0"/>
                                      <w:marTop w:val="0"/>
                                      <w:marBottom w:val="0"/>
                                      <w:divBdr>
                                        <w:top w:val="none" w:sz="0" w:space="0" w:color="auto"/>
                                        <w:left w:val="none" w:sz="0" w:space="0" w:color="auto"/>
                                        <w:bottom w:val="none" w:sz="0" w:space="0" w:color="auto"/>
                                        <w:right w:val="none" w:sz="0" w:space="0" w:color="auto"/>
                                      </w:divBdr>
                                    </w:div>
                                    <w:div w:id="1182935688">
                                      <w:marLeft w:val="0"/>
                                      <w:marRight w:val="0"/>
                                      <w:marTop w:val="0"/>
                                      <w:marBottom w:val="0"/>
                                      <w:divBdr>
                                        <w:top w:val="none" w:sz="0" w:space="0" w:color="auto"/>
                                        <w:left w:val="none" w:sz="0" w:space="0" w:color="auto"/>
                                        <w:bottom w:val="none" w:sz="0" w:space="0" w:color="auto"/>
                                        <w:right w:val="none" w:sz="0" w:space="0" w:color="auto"/>
                                      </w:divBdr>
                                    </w:div>
                                    <w:div w:id="1070149755">
                                      <w:marLeft w:val="0"/>
                                      <w:marRight w:val="0"/>
                                      <w:marTop w:val="0"/>
                                      <w:marBottom w:val="0"/>
                                      <w:divBdr>
                                        <w:top w:val="none" w:sz="0" w:space="0" w:color="auto"/>
                                        <w:left w:val="none" w:sz="0" w:space="0" w:color="auto"/>
                                        <w:bottom w:val="none" w:sz="0" w:space="0" w:color="auto"/>
                                        <w:right w:val="none" w:sz="0" w:space="0" w:color="auto"/>
                                      </w:divBdr>
                                    </w:div>
                                    <w:div w:id="1817869997">
                                      <w:marLeft w:val="0"/>
                                      <w:marRight w:val="0"/>
                                      <w:marTop w:val="0"/>
                                      <w:marBottom w:val="0"/>
                                      <w:divBdr>
                                        <w:top w:val="none" w:sz="0" w:space="0" w:color="auto"/>
                                        <w:left w:val="none" w:sz="0" w:space="0" w:color="auto"/>
                                        <w:bottom w:val="none" w:sz="0" w:space="0" w:color="auto"/>
                                        <w:right w:val="none" w:sz="0" w:space="0" w:color="auto"/>
                                      </w:divBdr>
                                    </w:div>
                                    <w:div w:id="1590890784">
                                      <w:marLeft w:val="0"/>
                                      <w:marRight w:val="0"/>
                                      <w:marTop w:val="150"/>
                                      <w:marBottom w:val="150"/>
                                      <w:divBdr>
                                        <w:top w:val="single" w:sz="6" w:space="8" w:color="000000"/>
                                        <w:left w:val="none" w:sz="0" w:space="0" w:color="auto"/>
                                        <w:bottom w:val="none" w:sz="0" w:space="0" w:color="auto"/>
                                        <w:right w:val="none" w:sz="0" w:space="0" w:color="auto"/>
                                      </w:divBdr>
                                    </w:div>
                                    <w:div w:id="106121560">
                                      <w:marLeft w:val="0"/>
                                      <w:marRight w:val="0"/>
                                      <w:marTop w:val="0"/>
                                      <w:marBottom w:val="0"/>
                                      <w:divBdr>
                                        <w:top w:val="none" w:sz="0" w:space="0" w:color="auto"/>
                                        <w:left w:val="none" w:sz="0" w:space="0" w:color="auto"/>
                                        <w:bottom w:val="none" w:sz="0" w:space="0" w:color="auto"/>
                                        <w:right w:val="none" w:sz="0" w:space="0" w:color="auto"/>
                                      </w:divBdr>
                                    </w:div>
                                    <w:div w:id="1640841339">
                                      <w:marLeft w:val="0"/>
                                      <w:marRight w:val="0"/>
                                      <w:marTop w:val="0"/>
                                      <w:marBottom w:val="0"/>
                                      <w:divBdr>
                                        <w:top w:val="none" w:sz="0" w:space="0" w:color="auto"/>
                                        <w:left w:val="none" w:sz="0" w:space="0" w:color="auto"/>
                                        <w:bottom w:val="none" w:sz="0" w:space="0" w:color="auto"/>
                                        <w:right w:val="none" w:sz="0" w:space="0" w:color="auto"/>
                                      </w:divBdr>
                                    </w:div>
                                    <w:div w:id="979311073">
                                      <w:marLeft w:val="0"/>
                                      <w:marRight w:val="0"/>
                                      <w:marTop w:val="0"/>
                                      <w:marBottom w:val="0"/>
                                      <w:divBdr>
                                        <w:top w:val="none" w:sz="0" w:space="0" w:color="auto"/>
                                        <w:left w:val="none" w:sz="0" w:space="0" w:color="auto"/>
                                        <w:bottom w:val="none" w:sz="0" w:space="0" w:color="auto"/>
                                        <w:right w:val="none" w:sz="0" w:space="0" w:color="auto"/>
                                      </w:divBdr>
                                    </w:div>
                                    <w:div w:id="1357468002">
                                      <w:marLeft w:val="0"/>
                                      <w:marRight w:val="0"/>
                                      <w:marTop w:val="0"/>
                                      <w:marBottom w:val="0"/>
                                      <w:divBdr>
                                        <w:top w:val="none" w:sz="0" w:space="0" w:color="auto"/>
                                        <w:left w:val="none" w:sz="0" w:space="0" w:color="auto"/>
                                        <w:bottom w:val="none" w:sz="0" w:space="0" w:color="auto"/>
                                        <w:right w:val="none" w:sz="0" w:space="0" w:color="auto"/>
                                      </w:divBdr>
                                    </w:div>
                                    <w:div w:id="1227763600">
                                      <w:marLeft w:val="0"/>
                                      <w:marRight w:val="0"/>
                                      <w:marTop w:val="0"/>
                                      <w:marBottom w:val="0"/>
                                      <w:divBdr>
                                        <w:top w:val="none" w:sz="0" w:space="0" w:color="auto"/>
                                        <w:left w:val="none" w:sz="0" w:space="0" w:color="auto"/>
                                        <w:bottom w:val="none" w:sz="0" w:space="0" w:color="auto"/>
                                        <w:right w:val="none" w:sz="0" w:space="0" w:color="auto"/>
                                      </w:divBdr>
                                    </w:div>
                                    <w:div w:id="1287925691">
                                      <w:marLeft w:val="0"/>
                                      <w:marRight w:val="0"/>
                                      <w:marTop w:val="0"/>
                                      <w:marBottom w:val="0"/>
                                      <w:divBdr>
                                        <w:top w:val="none" w:sz="0" w:space="0" w:color="auto"/>
                                        <w:left w:val="none" w:sz="0" w:space="0" w:color="auto"/>
                                        <w:bottom w:val="none" w:sz="0" w:space="0" w:color="auto"/>
                                        <w:right w:val="none" w:sz="0" w:space="0" w:color="auto"/>
                                      </w:divBdr>
                                    </w:div>
                                    <w:div w:id="882518960">
                                      <w:marLeft w:val="0"/>
                                      <w:marRight w:val="0"/>
                                      <w:marTop w:val="0"/>
                                      <w:marBottom w:val="0"/>
                                      <w:divBdr>
                                        <w:top w:val="none" w:sz="0" w:space="0" w:color="auto"/>
                                        <w:left w:val="none" w:sz="0" w:space="0" w:color="auto"/>
                                        <w:bottom w:val="none" w:sz="0" w:space="0" w:color="auto"/>
                                        <w:right w:val="none" w:sz="0" w:space="0" w:color="auto"/>
                                      </w:divBdr>
                                    </w:div>
                                    <w:div w:id="62604628">
                                      <w:marLeft w:val="0"/>
                                      <w:marRight w:val="0"/>
                                      <w:marTop w:val="0"/>
                                      <w:marBottom w:val="0"/>
                                      <w:divBdr>
                                        <w:top w:val="none" w:sz="0" w:space="0" w:color="auto"/>
                                        <w:left w:val="none" w:sz="0" w:space="0" w:color="auto"/>
                                        <w:bottom w:val="none" w:sz="0" w:space="0" w:color="auto"/>
                                        <w:right w:val="none" w:sz="0" w:space="0" w:color="auto"/>
                                      </w:divBdr>
                                    </w:div>
                                    <w:div w:id="1186823986">
                                      <w:marLeft w:val="0"/>
                                      <w:marRight w:val="0"/>
                                      <w:marTop w:val="0"/>
                                      <w:marBottom w:val="0"/>
                                      <w:divBdr>
                                        <w:top w:val="none" w:sz="0" w:space="0" w:color="auto"/>
                                        <w:left w:val="none" w:sz="0" w:space="0" w:color="auto"/>
                                        <w:bottom w:val="none" w:sz="0" w:space="0" w:color="auto"/>
                                        <w:right w:val="none" w:sz="0" w:space="0" w:color="auto"/>
                                      </w:divBdr>
                                    </w:div>
                                    <w:div w:id="1511069125">
                                      <w:marLeft w:val="0"/>
                                      <w:marRight w:val="0"/>
                                      <w:marTop w:val="0"/>
                                      <w:marBottom w:val="0"/>
                                      <w:divBdr>
                                        <w:top w:val="none" w:sz="0" w:space="0" w:color="auto"/>
                                        <w:left w:val="none" w:sz="0" w:space="0" w:color="auto"/>
                                        <w:bottom w:val="none" w:sz="0" w:space="0" w:color="auto"/>
                                        <w:right w:val="none" w:sz="0" w:space="0" w:color="auto"/>
                                      </w:divBdr>
                                    </w:div>
                                    <w:div w:id="912814582">
                                      <w:marLeft w:val="0"/>
                                      <w:marRight w:val="0"/>
                                      <w:marTop w:val="0"/>
                                      <w:marBottom w:val="0"/>
                                      <w:divBdr>
                                        <w:top w:val="none" w:sz="0" w:space="0" w:color="auto"/>
                                        <w:left w:val="none" w:sz="0" w:space="0" w:color="auto"/>
                                        <w:bottom w:val="none" w:sz="0" w:space="0" w:color="auto"/>
                                        <w:right w:val="none" w:sz="0" w:space="0" w:color="auto"/>
                                      </w:divBdr>
                                    </w:div>
                                    <w:div w:id="260727745">
                                      <w:marLeft w:val="0"/>
                                      <w:marRight w:val="0"/>
                                      <w:marTop w:val="0"/>
                                      <w:marBottom w:val="0"/>
                                      <w:divBdr>
                                        <w:top w:val="none" w:sz="0" w:space="0" w:color="auto"/>
                                        <w:left w:val="none" w:sz="0" w:space="0" w:color="auto"/>
                                        <w:bottom w:val="none" w:sz="0" w:space="0" w:color="auto"/>
                                        <w:right w:val="none" w:sz="0" w:space="0" w:color="auto"/>
                                      </w:divBdr>
                                    </w:div>
                                    <w:div w:id="68117058">
                                      <w:marLeft w:val="0"/>
                                      <w:marRight w:val="0"/>
                                      <w:marTop w:val="150"/>
                                      <w:marBottom w:val="150"/>
                                      <w:divBdr>
                                        <w:top w:val="single" w:sz="6" w:space="8" w:color="000000"/>
                                        <w:left w:val="none" w:sz="0" w:space="0" w:color="auto"/>
                                        <w:bottom w:val="none" w:sz="0" w:space="0" w:color="auto"/>
                                        <w:right w:val="none" w:sz="0" w:space="0" w:color="auto"/>
                                      </w:divBdr>
                                    </w:div>
                                    <w:div w:id="627056087">
                                      <w:marLeft w:val="0"/>
                                      <w:marRight w:val="0"/>
                                      <w:marTop w:val="0"/>
                                      <w:marBottom w:val="0"/>
                                      <w:divBdr>
                                        <w:top w:val="none" w:sz="0" w:space="0" w:color="auto"/>
                                        <w:left w:val="none" w:sz="0" w:space="0" w:color="auto"/>
                                        <w:bottom w:val="none" w:sz="0" w:space="0" w:color="auto"/>
                                        <w:right w:val="none" w:sz="0" w:space="0" w:color="auto"/>
                                      </w:divBdr>
                                    </w:div>
                                    <w:div w:id="1228151640">
                                      <w:marLeft w:val="0"/>
                                      <w:marRight w:val="0"/>
                                      <w:marTop w:val="150"/>
                                      <w:marBottom w:val="150"/>
                                      <w:divBdr>
                                        <w:top w:val="single" w:sz="6" w:space="8" w:color="000000"/>
                                        <w:left w:val="none" w:sz="0" w:space="0" w:color="auto"/>
                                        <w:bottom w:val="none" w:sz="0" w:space="0" w:color="auto"/>
                                        <w:right w:val="none" w:sz="0" w:space="0" w:color="auto"/>
                                      </w:divBdr>
                                    </w:div>
                                    <w:div w:id="172377237">
                                      <w:marLeft w:val="0"/>
                                      <w:marRight w:val="0"/>
                                      <w:marTop w:val="0"/>
                                      <w:marBottom w:val="0"/>
                                      <w:divBdr>
                                        <w:top w:val="none" w:sz="0" w:space="0" w:color="auto"/>
                                        <w:left w:val="none" w:sz="0" w:space="0" w:color="auto"/>
                                        <w:bottom w:val="none" w:sz="0" w:space="0" w:color="auto"/>
                                        <w:right w:val="none" w:sz="0" w:space="0" w:color="auto"/>
                                      </w:divBdr>
                                    </w:div>
                                    <w:div w:id="603418330">
                                      <w:marLeft w:val="0"/>
                                      <w:marRight w:val="0"/>
                                      <w:marTop w:val="150"/>
                                      <w:marBottom w:val="150"/>
                                      <w:divBdr>
                                        <w:top w:val="single" w:sz="6" w:space="8" w:color="000000"/>
                                        <w:left w:val="none" w:sz="0" w:space="0" w:color="auto"/>
                                        <w:bottom w:val="none" w:sz="0" w:space="0" w:color="auto"/>
                                        <w:right w:val="none" w:sz="0" w:space="0" w:color="auto"/>
                                      </w:divBdr>
                                    </w:div>
                                    <w:div w:id="1451436628">
                                      <w:marLeft w:val="0"/>
                                      <w:marRight w:val="0"/>
                                      <w:marTop w:val="0"/>
                                      <w:marBottom w:val="0"/>
                                      <w:divBdr>
                                        <w:top w:val="none" w:sz="0" w:space="0" w:color="auto"/>
                                        <w:left w:val="none" w:sz="0" w:space="0" w:color="auto"/>
                                        <w:bottom w:val="none" w:sz="0" w:space="0" w:color="auto"/>
                                        <w:right w:val="none" w:sz="0" w:space="0" w:color="auto"/>
                                      </w:divBdr>
                                    </w:div>
                                    <w:div w:id="1777865754">
                                      <w:marLeft w:val="0"/>
                                      <w:marRight w:val="0"/>
                                      <w:marTop w:val="150"/>
                                      <w:marBottom w:val="150"/>
                                      <w:divBdr>
                                        <w:top w:val="single" w:sz="6" w:space="8" w:color="000000"/>
                                        <w:left w:val="none" w:sz="0" w:space="0" w:color="auto"/>
                                        <w:bottom w:val="none" w:sz="0" w:space="0" w:color="auto"/>
                                        <w:right w:val="none" w:sz="0" w:space="0" w:color="auto"/>
                                      </w:divBdr>
                                    </w:div>
                                    <w:div w:id="122679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216970">
                      <w:marLeft w:val="-225"/>
                      <w:marRight w:val="-225"/>
                      <w:marTop w:val="0"/>
                      <w:marBottom w:val="0"/>
                      <w:divBdr>
                        <w:top w:val="none" w:sz="0" w:space="0" w:color="auto"/>
                        <w:left w:val="none" w:sz="0" w:space="0" w:color="auto"/>
                        <w:bottom w:val="none" w:sz="0" w:space="0" w:color="auto"/>
                        <w:right w:val="none" w:sz="0" w:space="0" w:color="auto"/>
                      </w:divBdr>
                      <w:divsChild>
                        <w:div w:id="802962081">
                          <w:marLeft w:val="0"/>
                          <w:marRight w:val="0"/>
                          <w:marTop w:val="0"/>
                          <w:marBottom w:val="0"/>
                          <w:divBdr>
                            <w:top w:val="none" w:sz="0" w:space="0" w:color="auto"/>
                            <w:left w:val="none" w:sz="0" w:space="0" w:color="auto"/>
                            <w:bottom w:val="none" w:sz="0" w:space="0" w:color="auto"/>
                            <w:right w:val="none" w:sz="0" w:space="0" w:color="auto"/>
                          </w:divBdr>
                          <w:divsChild>
                            <w:div w:id="404912168">
                              <w:marLeft w:val="-225"/>
                              <w:marRight w:val="-225"/>
                              <w:marTop w:val="0"/>
                              <w:marBottom w:val="0"/>
                              <w:divBdr>
                                <w:top w:val="none" w:sz="0" w:space="0" w:color="auto"/>
                                <w:left w:val="none" w:sz="0" w:space="0" w:color="auto"/>
                                <w:bottom w:val="none" w:sz="0" w:space="0" w:color="auto"/>
                                <w:right w:val="none" w:sz="0" w:space="0" w:color="auto"/>
                              </w:divBdr>
                              <w:divsChild>
                                <w:div w:id="739599054">
                                  <w:marLeft w:val="0"/>
                                  <w:marRight w:val="0"/>
                                  <w:marTop w:val="0"/>
                                  <w:marBottom w:val="0"/>
                                  <w:divBdr>
                                    <w:top w:val="none" w:sz="0" w:space="0" w:color="auto"/>
                                    <w:left w:val="none" w:sz="0" w:space="0" w:color="auto"/>
                                    <w:bottom w:val="none" w:sz="0" w:space="0" w:color="auto"/>
                                    <w:right w:val="none" w:sz="0" w:space="0" w:color="auto"/>
                                  </w:divBdr>
                                </w:div>
                              </w:divsChild>
                            </w:div>
                            <w:div w:id="962004937">
                              <w:marLeft w:val="-225"/>
                              <w:marRight w:val="-225"/>
                              <w:marTop w:val="0"/>
                              <w:marBottom w:val="0"/>
                              <w:divBdr>
                                <w:top w:val="none" w:sz="0" w:space="0" w:color="auto"/>
                                <w:left w:val="none" w:sz="0" w:space="0" w:color="auto"/>
                                <w:bottom w:val="none" w:sz="0" w:space="0" w:color="auto"/>
                                <w:right w:val="none" w:sz="0" w:space="0" w:color="auto"/>
                              </w:divBdr>
                              <w:divsChild>
                                <w:div w:id="1944722302">
                                  <w:marLeft w:val="0"/>
                                  <w:marRight w:val="0"/>
                                  <w:marTop w:val="0"/>
                                  <w:marBottom w:val="0"/>
                                  <w:divBdr>
                                    <w:top w:val="none" w:sz="0" w:space="0" w:color="auto"/>
                                    <w:left w:val="none" w:sz="0" w:space="0" w:color="auto"/>
                                    <w:bottom w:val="none" w:sz="0" w:space="0" w:color="auto"/>
                                    <w:right w:val="none" w:sz="0" w:space="0" w:color="auto"/>
                                  </w:divBdr>
                                  <w:divsChild>
                                    <w:div w:id="1238595866">
                                      <w:marLeft w:val="0"/>
                                      <w:marRight w:val="0"/>
                                      <w:marTop w:val="0"/>
                                      <w:marBottom w:val="0"/>
                                      <w:divBdr>
                                        <w:top w:val="none" w:sz="0" w:space="0" w:color="auto"/>
                                        <w:left w:val="none" w:sz="0" w:space="0" w:color="auto"/>
                                        <w:bottom w:val="none" w:sz="0" w:space="0" w:color="auto"/>
                                        <w:right w:val="none" w:sz="0" w:space="0" w:color="auto"/>
                                      </w:divBdr>
                                    </w:div>
                                  </w:divsChild>
                                </w:div>
                                <w:div w:id="1246496969">
                                  <w:marLeft w:val="0"/>
                                  <w:marRight w:val="0"/>
                                  <w:marTop w:val="0"/>
                                  <w:marBottom w:val="0"/>
                                  <w:divBdr>
                                    <w:top w:val="none" w:sz="0" w:space="0" w:color="auto"/>
                                    <w:left w:val="none" w:sz="0" w:space="0" w:color="auto"/>
                                    <w:bottom w:val="none" w:sz="0" w:space="0" w:color="auto"/>
                                    <w:right w:val="none" w:sz="0" w:space="0" w:color="auto"/>
                                  </w:divBdr>
                                  <w:divsChild>
                                    <w:div w:id="618993034">
                                      <w:marLeft w:val="0"/>
                                      <w:marRight w:val="0"/>
                                      <w:marTop w:val="0"/>
                                      <w:marBottom w:val="0"/>
                                      <w:divBdr>
                                        <w:top w:val="none" w:sz="0" w:space="0" w:color="auto"/>
                                        <w:left w:val="none" w:sz="0" w:space="0" w:color="auto"/>
                                        <w:bottom w:val="none" w:sz="0" w:space="0" w:color="auto"/>
                                        <w:right w:val="none" w:sz="0" w:space="0" w:color="auto"/>
                                      </w:divBdr>
                                      <w:divsChild>
                                        <w:div w:id="916481186">
                                          <w:marLeft w:val="0"/>
                                          <w:marRight w:val="0"/>
                                          <w:marTop w:val="0"/>
                                          <w:marBottom w:val="0"/>
                                          <w:divBdr>
                                            <w:top w:val="none" w:sz="0" w:space="0" w:color="auto"/>
                                            <w:left w:val="none" w:sz="0" w:space="0" w:color="auto"/>
                                            <w:bottom w:val="none" w:sz="0" w:space="0" w:color="auto"/>
                                            <w:right w:val="none" w:sz="0" w:space="0" w:color="auto"/>
                                          </w:divBdr>
                                        </w:div>
                                        <w:div w:id="1138762097">
                                          <w:marLeft w:val="0"/>
                                          <w:marRight w:val="0"/>
                                          <w:marTop w:val="0"/>
                                          <w:marBottom w:val="0"/>
                                          <w:divBdr>
                                            <w:top w:val="none" w:sz="0" w:space="0" w:color="auto"/>
                                            <w:left w:val="none" w:sz="0" w:space="0" w:color="auto"/>
                                            <w:bottom w:val="none" w:sz="0" w:space="0" w:color="auto"/>
                                            <w:right w:val="none" w:sz="0" w:space="0" w:color="auto"/>
                                          </w:divBdr>
                                        </w:div>
                                        <w:div w:id="201015216">
                                          <w:marLeft w:val="0"/>
                                          <w:marRight w:val="0"/>
                                          <w:marTop w:val="0"/>
                                          <w:marBottom w:val="0"/>
                                          <w:divBdr>
                                            <w:top w:val="none" w:sz="0" w:space="0" w:color="auto"/>
                                            <w:left w:val="none" w:sz="0" w:space="0" w:color="auto"/>
                                            <w:bottom w:val="none" w:sz="0" w:space="0" w:color="auto"/>
                                            <w:right w:val="none" w:sz="0" w:space="0" w:color="auto"/>
                                          </w:divBdr>
                                        </w:div>
                                        <w:div w:id="1553954664">
                                          <w:marLeft w:val="0"/>
                                          <w:marRight w:val="0"/>
                                          <w:marTop w:val="0"/>
                                          <w:marBottom w:val="0"/>
                                          <w:divBdr>
                                            <w:top w:val="none" w:sz="0" w:space="0" w:color="auto"/>
                                            <w:left w:val="none" w:sz="0" w:space="0" w:color="auto"/>
                                            <w:bottom w:val="none" w:sz="0" w:space="0" w:color="auto"/>
                                            <w:right w:val="none" w:sz="0" w:space="0" w:color="auto"/>
                                          </w:divBdr>
                                        </w:div>
                                        <w:div w:id="95836666">
                                          <w:marLeft w:val="0"/>
                                          <w:marRight w:val="0"/>
                                          <w:marTop w:val="0"/>
                                          <w:marBottom w:val="0"/>
                                          <w:divBdr>
                                            <w:top w:val="none" w:sz="0" w:space="0" w:color="auto"/>
                                            <w:left w:val="none" w:sz="0" w:space="0" w:color="auto"/>
                                            <w:bottom w:val="none" w:sz="0" w:space="0" w:color="auto"/>
                                            <w:right w:val="none" w:sz="0" w:space="0" w:color="auto"/>
                                          </w:divBdr>
                                        </w:div>
                                        <w:div w:id="1792241205">
                                          <w:marLeft w:val="0"/>
                                          <w:marRight w:val="0"/>
                                          <w:marTop w:val="0"/>
                                          <w:marBottom w:val="0"/>
                                          <w:divBdr>
                                            <w:top w:val="none" w:sz="0" w:space="0" w:color="auto"/>
                                            <w:left w:val="none" w:sz="0" w:space="0" w:color="auto"/>
                                            <w:bottom w:val="none" w:sz="0" w:space="0" w:color="auto"/>
                                            <w:right w:val="none" w:sz="0" w:space="0" w:color="auto"/>
                                          </w:divBdr>
                                        </w:div>
                                        <w:div w:id="526649067">
                                          <w:marLeft w:val="0"/>
                                          <w:marRight w:val="0"/>
                                          <w:marTop w:val="0"/>
                                          <w:marBottom w:val="0"/>
                                          <w:divBdr>
                                            <w:top w:val="none" w:sz="0" w:space="0" w:color="auto"/>
                                            <w:left w:val="none" w:sz="0" w:space="0" w:color="auto"/>
                                            <w:bottom w:val="none" w:sz="0" w:space="0" w:color="auto"/>
                                            <w:right w:val="none" w:sz="0" w:space="0" w:color="auto"/>
                                          </w:divBdr>
                                        </w:div>
                                        <w:div w:id="189589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0734">
                                  <w:marLeft w:val="0"/>
                                  <w:marRight w:val="0"/>
                                  <w:marTop w:val="0"/>
                                  <w:marBottom w:val="0"/>
                                  <w:divBdr>
                                    <w:top w:val="none" w:sz="0" w:space="0" w:color="auto"/>
                                    <w:left w:val="none" w:sz="0" w:space="0" w:color="auto"/>
                                    <w:bottom w:val="none" w:sz="0" w:space="0" w:color="auto"/>
                                    <w:right w:val="none" w:sz="0" w:space="0" w:color="auto"/>
                                  </w:divBdr>
                                  <w:divsChild>
                                    <w:div w:id="348259376">
                                      <w:marLeft w:val="0"/>
                                      <w:marRight w:val="0"/>
                                      <w:marTop w:val="0"/>
                                      <w:marBottom w:val="0"/>
                                      <w:divBdr>
                                        <w:top w:val="none" w:sz="0" w:space="0" w:color="auto"/>
                                        <w:left w:val="none" w:sz="0" w:space="0" w:color="auto"/>
                                        <w:bottom w:val="none" w:sz="0" w:space="0" w:color="auto"/>
                                        <w:right w:val="none" w:sz="0" w:space="0" w:color="auto"/>
                                      </w:divBdr>
                                      <w:divsChild>
                                        <w:div w:id="158078444">
                                          <w:marLeft w:val="0"/>
                                          <w:marRight w:val="0"/>
                                          <w:marTop w:val="0"/>
                                          <w:marBottom w:val="0"/>
                                          <w:divBdr>
                                            <w:top w:val="none" w:sz="0" w:space="0" w:color="auto"/>
                                            <w:left w:val="none" w:sz="0" w:space="0" w:color="auto"/>
                                            <w:bottom w:val="none" w:sz="0" w:space="0" w:color="auto"/>
                                            <w:right w:val="none" w:sz="0" w:space="0" w:color="auto"/>
                                          </w:divBdr>
                                        </w:div>
                                        <w:div w:id="10886652">
                                          <w:marLeft w:val="0"/>
                                          <w:marRight w:val="0"/>
                                          <w:marTop w:val="0"/>
                                          <w:marBottom w:val="0"/>
                                          <w:divBdr>
                                            <w:top w:val="none" w:sz="0" w:space="0" w:color="auto"/>
                                            <w:left w:val="none" w:sz="0" w:space="0" w:color="auto"/>
                                            <w:bottom w:val="none" w:sz="0" w:space="0" w:color="auto"/>
                                            <w:right w:val="none" w:sz="0" w:space="0" w:color="auto"/>
                                          </w:divBdr>
                                        </w:div>
                                        <w:div w:id="1470853932">
                                          <w:marLeft w:val="0"/>
                                          <w:marRight w:val="0"/>
                                          <w:marTop w:val="0"/>
                                          <w:marBottom w:val="0"/>
                                          <w:divBdr>
                                            <w:top w:val="none" w:sz="0" w:space="0" w:color="auto"/>
                                            <w:left w:val="none" w:sz="0" w:space="0" w:color="auto"/>
                                            <w:bottom w:val="none" w:sz="0" w:space="0" w:color="auto"/>
                                            <w:right w:val="none" w:sz="0" w:space="0" w:color="auto"/>
                                          </w:divBdr>
                                        </w:div>
                                        <w:div w:id="197203957">
                                          <w:marLeft w:val="0"/>
                                          <w:marRight w:val="0"/>
                                          <w:marTop w:val="0"/>
                                          <w:marBottom w:val="0"/>
                                          <w:divBdr>
                                            <w:top w:val="none" w:sz="0" w:space="0" w:color="auto"/>
                                            <w:left w:val="none" w:sz="0" w:space="0" w:color="auto"/>
                                            <w:bottom w:val="none" w:sz="0" w:space="0" w:color="auto"/>
                                            <w:right w:val="none" w:sz="0" w:space="0" w:color="auto"/>
                                          </w:divBdr>
                                        </w:div>
                                        <w:div w:id="480848741">
                                          <w:marLeft w:val="0"/>
                                          <w:marRight w:val="0"/>
                                          <w:marTop w:val="0"/>
                                          <w:marBottom w:val="0"/>
                                          <w:divBdr>
                                            <w:top w:val="none" w:sz="0" w:space="0" w:color="auto"/>
                                            <w:left w:val="none" w:sz="0" w:space="0" w:color="auto"/>
                                            <w:bottom w:val="none" w:sz="0" w:space="0" w:color="auto"/>
                                            <w:right w:val="none" w:sz="0" w:space="0" w:color="auto"/>
                                          </w:divBdr>
                                        </w:div>
                                        <w:div w:id="1219783001">
                                          <w:marLeft w:val="0"/>
                                          <w:marRight w:val="0"/>
                                          <w:marTop w:val="0"/>
                                          <w:marBottom w:val="0"/>
                                          <w:divBdr>
                                            <w:top w:val="none" w:sz="0" w:space="0" w:color="auto"/>
                                            <w:left w:val="none" w:sz="0" w:space="0" w:color="auto"/>
                                            <w:bottom w:val="none" w:sz="0" w:space="0" w:color="auto"/>
                                            <w:right w:val="none" w:sz="0" w:space="0" w:color="auto"/>
                                          </w:divBdr>
                                        </w:div>
                                        <w:div w:id="583683608">
                                          <w:marLeft w:val="0"/>
                                          <w:marRight w:val="0"/>
                                          <w:marTop w:val="0"/>
                                          <w:marBottom w:val="0"/>
                                          <w:divBdr>
                                            <w:top w:val="none" w:sz="0" w:space="0" w:color="auto"/>
                                            <w:left w:val="none" w:sz="0" w:space="0" w:color="auto"/>
                                            <w:bottom w:val="none" w:sz="0" w:space="0" w:color="auto"/>
                                            <w:right w:val="none" w:sz="0" w:space="0" w:color="auto"/>
                                          </w:divBdr>
                                        </w:div>
                                        <w:div w:id="2232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3106609">
          <w:marLeft w:val="0"/>
          <w:marRight w:val="0"/>
          <w:marTop w:val="0"/>
          <w:marBottom w:val="0"/>
          <w:divBdr>
            <w:top w:val="none" w:sz="0" w:space="0" w:color="auto"/>
            <w:left w:val="none" w:sz="0" w:space="0" w:color="auto"/>
            <w:bottom w:val="none" w:sz="0" w:space="0" w:color="auto"/>
            <w:right w:val="none" w:sz="0" w:space="0" w:color="auto"/>
          </w:divBdr>
          <w:divsChild>
            <w:div w:id="1458765834">
              <w:marLeft w:val="0"/>
              <w:marRight w:val="0"/>
              <w:marTop w:val="0"/>
              <w:marBottom w:val="0"/>
              <w:divBdr>
                <w:top w:val="none" w:sz="0" w:space="0" w:color="auto"/>
                <w:left w:val="none" w:sz="0" w:space="0" w:color="auto"/>
                <w:bottom w:val="none" w:sz="0" w:space="0" w:color="auto"/>
                <w:right w:val="none" w:sz="0" w:space="0" w:color="auto"/>
              </w:divBdr>
            </w:div>
          </w:divsChild>
        </w:div>
        <w:div w:id="1232622537">
          <w:marLeft w:val="0"/>
          <w:marRight w:val="0"/>
          <w:marTop w:val="0"/>
          <w:marBottom w:val="0"/>
          <w:divBdr>
            <w:top w:val="none" w:sz="0" w:space="0" w:color="auto"/>
            <w:left w:val="none" w:sz="0" w:space="0" w:color="auto"/>
            <w:bottom w:val="none" w:sz="0" w:space="0" w:color="auto"/>
            <w:right w:val="none" w:sz="0" w:space="0" w:color="auto"/>
          </w:divBdr>
          <w:divsChild>
            <w:div w:id="783502156">
              <w:marLeft w:val="0"/>
              <w:marRight w:val="0"/>
              <w:marTop w:val="0"/>
              <w:marBottom w:val="0"/>
              <w:divBdr>
                <w:top w:val="none" w:sz="0" w:space="0" w:color="auto"/>
                <w:left w:val="none" w:sz="0" w:space="0" w:color="auto"/>
                <w:bottom w:val="none" w:sz="0" w:space="0" w:color="auto"/>
                <w:right w:val="none" w:sz="0" w:space="0" w:color="auto"/>
              </w:divBdr>
              <w:divsChild>
                <w:div w:id="723145008">
                  <w:marLeft w:val="0"/>
                  <w:marRight w:val="0"/>
                  <w:marTop w:val="0"/>
                  <w:marBottom w:val="0"/>
                  <w:divBdr>
                    <w:top w:val="none" w:sz="0" w:space="0" w:color="auto"/>
                    <w:left w:val="none" w:sz="0" w:space="0" w:color="auto"/>
                    <w:bottom w:val="none" w:sz="0" w:space="0" w:color="auto"/>
                    <w:right w:val="none" w:sz="0" w:space="0" w:color="auto"/>
                  </w:divBdr>
                </w:div>
                <w:div w:id="121281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09310">
          <w:marLeft w:val="0"/>
          <w:marRight w:val="0"/>
          <w:marTop w:val="0"/>
          <w:marBottom w:val="0"/>
          <w:divBdr>
            <w:top w:val="none" w:sz="0" w:space="0" w:color="auto"/>
            <w:left w:val="none" w:sz="0" w:space="0" w:color="auto"/>
            <w:bottom w:val="none" w:sz="0" w:space="0" w:color="auto"/>
            <w:right w:val="none" w:sz="0" w:space="0" w:color="auto"/>
          </w:divBdr>
          <w:divsChild>
            <w:div w:id="1566255525">
              <w:marLeft w:val="150"/>
              <w:marRight w:val="15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2421</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c:creator>
  <cp:keywords/>
  <dc:description/>
  <cp:lastModifiedBy>md</cp:lastModifiedBy>
  <cp:revision>7</cp:revision>
  <dcterms:created xsi:type="dcterms:W3CDTF">2020-12-08T08:24:00Z</dcterms:created>
  <dcterms:modified xsi:type="dcterms:W3CDTF">2020-12-08T08:42:00Z</dcterms:modified>
</cp:coreProperties>
</file>