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3AB5" w14:textId="77777777" w:rsidR="00B7586C" w:rsidRPr="00564B42" w:rsidRDefault="00D27614" w:rsidP="00037CA8">
      <w:pPr>
        <w:autoSpaceDE w:val="0"/>
        <w:autoSpaceDN w:val="0"/>
        <w:adjustRightInd w:val="0"/>
        <w:spacing w:after="0"/>
        <w:jc w:val="center"/>
        <w:rPr>
          <w:rFonts w:ascii="Times New Roman" w:hAnsi="Times New Roman" w:cs="Times New Roman"/>
          <w:b/>
          <w:sz w:val="28"/>
          <w:szCs w:val="28"/>
        </w:rPr>
      </w:pPr>
      <w:r w:rsidRPr="00564B42">
        <w:rPr>
          <w:rFonts w:ascii="Times New Roman" w:hAnsi="Times New Roman" w:cs="Times New Roman"/>
          <w:b/>
          <w:sz w:val="28"/>
          <w:szCs w:val="28"/>
        </w:rPr>
        <w:t>Summary of Product Characteristics (SPC)</w:t>
      </w:r>
    </w:p>
    <w:p w14:paraId="3B7D079F" w14:textId="77777777" w:rsidR="00037CA8" w:rsidRPr="00564B42" w:rsidRDefault="00037CA8" w:rsidP="00037CA8">
      <w:pPr>
        <w:autoSpaceDE w:val="0"/>
        <w:autoSpaceDN w:val="0"/>
        <w:adjustRightInd w:val="0"/>
        <w:spacing w:after="0"/>
        <w:jc w:val="center"/>
        <w:rPr>
          <w:rFonts w:ascii="Times New Roman" w:hAnsi="Times New Roman" w:cs="Times New Roman"/>
          <w:sz w:val="28"/>
          <w:szCs w:val="28"/>
          <w:highlight w:val="yellow"/>
        </w:rPr>
      </w:pPr>
    </w:p>
    <w:p w14:paraId="469A3EBF" w14:textId="77777777" w:rsidR="00B7586C" w:rsidRPr="00564B42" w:rsidRDefault="00B7586C" w:rsidP="00C839BE">
      <w:pPr>
        <w:autoSpaceDE w:val="0"/>
        <w:autoSpaceDN w:val="0"/>
        <w:adjustRightInd w:val="0"/>
        <w:spacing w:after="0"/>
        <w:ind w:left="-360" w:right="-333"/>
        <w:rPr>
          <w:rFonts w:ascii="Times New Roman" w:hAnsi="Times New Roman" w:cs="Times New Roman"/>
          <w:b/>
          <w:sz w:val="24"/>
          <w:szCs w:val="24"/>
        </w:rPr>
      </w:pPr>
      <w:r w:rsidRPr="00564B42">
        <w:rPr>
          <w:rFonts w:ascii="Times New Roman" w:hAnsi="Times New Roman" w:cs="Times New Roman"/>
          <w:b/>
          <w:sz w:val="24"/>
          <w:szCs w:val="24"/>
        </w:rPr>
        <w:t>1. Name of the medicinal product</w:t>
      </w:r>
    </w:p>
    <w:p w14:paraId="2665F304" w14:textId="511137C6" w:rsidR="00E23323" w:rsidRPr="00564B42" w:rsidRDefault="00275B44" w:rsidP="00C839BE">
      <w:pPr>
        <w:autoSpaceDE w:val="0"/>
        <w:autoSpaceDN w:val="0"/>
        <w:adjustRightInd w:val="0"/>
        <w:spacing w:after="0"/>
        <w:ind w:left="-360" w:right="-333"/>
        <w:rPr>
          <w:rFonts w:ascii="Times New Roman" w:eastAsia="Times New Roman" w:hAnsi="Times New Roman" w:cs="Times New Roman"/>
          <w:bCs/>
          <w:sz w:val="24"/>
          <w:szCs w:val="24"/>
        </w:rPr>
      </w:pPr>
      <w:r w:rsidRPr="00564B42">
        <w:rPr>
          <w:rFonts w:ascii="Times New Roman" w:hAnsi="Times New Roman"/>
          <w:bCs/>
          <w:sz w:val="24"/>
        </w:rPr>
        <w:t>Johnbee Fluconazole Capsules 200 mg</w:t>
      </w:r>
      <w:r w:rsidR="00EE5726" w:rsidRPr="00564B42">
        <w:rPr>
          <w:rFonts w:ascii="Times New Roman" w:hAnsi="Times New Roman"/>
          <w:bCs/>
          <w:sz w:val="24"/>
        </w:rPr>
        <w:t xml:space="preserve"> (</w:t>
      </w:r>
      <w:r w:rsidRPr="00564B42">
        <w:rPr>
          <w:rFonts w:ascii="Times New Roman" w:hAnsi="Times New Roman"/>
          <w:bCs/>
          <w:sz w:val="24"/>
          <w:szCs w:val="24"/>
        </w:rPr>
        <w:t>Fluconazole Capsules 200 mg</w:t>
      </w:r>
      <w:r w:rsidR="00EE5726" w:rsidRPr="00564B42">
        <w:rPr>
          <w:rFonts w:ascii="Times New Roman" w:hAnsi="Times New Roman"/>
          <w:bCs/>
          <w:sz w:val="24"/>
        </w:rPr>
        <w:t>)</w:t>
      </w:r>
    </w:p>
    <w:p w14:paraId="30289AD3" w14:textId="77777777" w:rsidR="000F3099" w:rsidRPr="00564B42" w:rsidRDefault="000F3099" w:rsidP="00C839BE">
      <w:pPr>
        <w:autoSpaceDE w:val="0"/>
        <w:autoSpaceDN w:val="0"/>
        <w:adjustRightInd w:val="0"/>
        <w:spacing w:after="0"/>
        <w:ind w:left="-360" w:right="-333"/>
        <w:rPr>
          <w:rFonts w:ascii="Times New Roman" w:hAnsi="Times New Roman" w:cs="Times New Roman"/>
          <w:sz w:val="24"/>
          <w:szCs w:val="24"/>
          <w:highlight w:val="yellow"/>
        </w:rPr>
      </w:pPr>
    </w:p>
    <w:p w14:paraId="20C8573D" w14:textId="77777777" w:rsidR="00D27614" w:rsidRPr="00564B42" w:rsidRDefault="00D27614" w:rsidP="003A4BB7">
      <w:pPr>
        <w:spacing w:after="0"/>
        <w:ind w:left="-90" w:right="-333"/>
        <w:jc w:val="both"/>
        <w:rPr>
          <w:rFonts w:ascii="Times New Roman" w:eastAsia="Times New Roman" w:hAnsi="Times New Roman" w:cs="Times New Roman"/>
          <w:b/>
          <w:i/>
          <w:sz w:val="24"/>
          <w:szCs w:val="24"/>
        </w:rPr>
      </w:pPr>
      <w:r w:rsidRPr="00564B42">
        <w:rPr>
          <w:rFonts w:ascii="Times New Roman" w:hAnsi="Times New Roman" w:cs="Times New Roman"/>
          <w:b/>
          <w:sz w:val="24"/>
          <w:szCs w:val="24"/>
        </w:rPr>
        <w:t>1.1</w:t>
      </w:r>
      <w:r w:rsidRPr="00564B42">
        <w:rPr>
          <w:rFonts w:ascii="Times New Roman" w:hAnsi="Times New Roman" w:cs="Times New Roman"/>
          <w:sz w:val="24"/>
          <w:szCs w:val="24"/>
        </w:rPr>
        <w:t xml:space="preserve"> </w:t>
      </w:r>
      <w:r w:rsidRPr="00564B42">
        <w:rPr>
          <w:rFonts w:ascii="Times New Roman" w:eastAsia="Times New Roman" w:hAnsi="Times New Roman" w:cs="Times New Roman"/>
          <w:b/>
          <w:i/>
          <w:sz w:val="24"/>
          <w:szCs w:val="24"/>
        </w:rPr>
        <w:t>International Non-Proprietary Name (INN)</w:t>
      </w:r>
    </w:p>
    <w:p w14:paraId="40C776AF" w14:textId="70EAD974" w:rsidR="00D27614" w:rsidRPr="00564B42" w:rsidRDefault="00275B44" w:rsidP="003A4BB7">
      <w:pPr>
        <w:spacing w:after="0"/>
        <w:ind w:left="-90" w:right="-333"/>
        <w:jc w:val="both"/>
        <w:rPr>
          <w:rFonts w:ascii="Times New Roman" w:hAnsi="Times New Roman" w:cs="Times New Roman"/>
          <w:sz w:val="24"/>
          <w:szCs w:val="24"/>
        </w:rPr>
      </w:pPr>
      <w:r w:rsidRPr="00564B42">
        <w:rPr>
          <w:rFonts w:ascii="Times New Roman" w:hAnsi="Times New Roman"/>
          <w:sz w:val="24"/>
          <w:szCs w:val="24"/>
        </w:rPr>
        <w:t xml:space="preserve">Fluconazole </w:t>
      </w:r>
      <w:r w:rsidR="008131B7">
        <w:rPr>
          <w:rFonts w:ascii="Times New Roman" w:hAnsi="Times New Roman"/>
          <w:sz w:val="24"/>
          <w:szCs w:val="24"/>
        </w:rPr>
        <w:t>USP</w:t>
      </w:r>
    </w:p>
    <w:p w14:paraId="3F20E1E7" w14:textId="77777777" w:rsidR="00037CA8" w:rsidRPr="00564B42" w:rsidRDefault="00037CA8" w:rsidP="003A4BB7">
      <w:pPr>
        <w:spacing w:after="0"/>
        <w:ind w:left="-90" w:right="-333"/>
        <w:jc w:val="both"/>
        <w:rPr>
          <w:rFonts w:ascii="Times New Roman" w:hAnsi="Times New Roman" w:cs="Times New Roman"/>
          <w:sz w:val="24"/>
          <w:szCs w:val="24"/>
          <w:highlight w:val="yellow"/>
        </w:rPr>
      </w:pPr>
    </w:p>
    <w:p w14:paraId="6B873BF3" w14:textId="77777777" w:rsidR="00D27614" w:rsidRPr="00564B42" w:rsidRDefault="00D27614" w:rsidP="003A4BB7">
      <w:pPr>
        <w:spacing w:after="0"/>
        <w:ind w:left="-90" w:right="-333"/>
        <w:jc w:val="both"/>
        <w:rPr>
          <w:rFonts w:ascii="Times New Roman" w:eastAsia="Times New Roman" w:hAnsi="Times New Roman" w:cs="Times New Roman"/>
          <w:b/>
          <w:i/>
          <w:sz w:val="24"/>
          <w:szCs w:val="24"/>
        </w:rPr>
      </w:pPr>
      <w:r w:rsidRPr="00564B42">
        <w:rPr>
          <w:rFonts w:ascii="Times New Roman" w:hAnsi="Times New Roman" w:cs="Times New Roman"/>
          <w:b/>
          <w:sz w:val="24"/>
          <w:szCs w:val="24"/>
        </w:rPr>
        <w:t>1.2</w:t>
      </w:r>
      <w:r w:rsidRPr="00564B42">
        <w:rPr>
          <w:rFonts w:ascii="Times New Roman" w:hAnsi="Times New Roman" w:cs="Times New Roman"/>
          <w:sz w:val="24"/>
          <w:szCs w:val="24"/>
        </w:rPr>
        <w:t xml:space="preserve"> </w:t>
      </w:r>
      <w:r w:rsidRPr="00564B42">
        <w:rPr>
          <w:rFonts w:ascii="Times New Roman" w:eastAsia="Times New Roman" w:hAnsi="Times New Roman" w:cs="Times New Roman"/>
          <w:b/>
          <w:i/>
          <w:sz w:val="24"/>
          <w:szCs w:val="24"/>
        </w:rPr>
        <w:t>Strength</w:t>
      </w:r>
    </w:p>
    <w:p w14:paraId="3E13BBBC" w14:textId="65C30813" w:rsidR="00D27614" w:rsidRPr="00564B42" w:rsidRDefault="00275B44" w:rsidP="003A4BB7">
      <w:pPr>
        <w:autoSpaceDE w:val="0"/>
        <w:autoSpaceDN w:val="0"/>
        <w:adjustRightInd w:val="0"/>
        <w:spacing w:after="0"/>
        <w:ind w:left="-90" w:right="-333"/>
        <w:rPr>
          <w:rFonts w:ascii="Times New Roman" w:hAnsi="Times New Roman" w:cs="Times New Roman"/>
          <w:sz w:val="24"/>
          <w:szCs w:val="24"/>
        </w:rPr>
      </w:pPr>
      <w:r w:rsidRPr="00564B42">
        <w:rPr>
          <w:rFonts w:ascii="Times New Roman" w:hAnsi="Times New Roman" w:cs="Times New Roman"/>
          <w:sz w:val="24"/>
          <w:szCs w:val="24"/>
        </w:rPr>
        <w:t>2</w:t>
      </w:r>
      <w:r w:rsidR="00EB59B6" w:rsidRPr="00564B42">
        <w:rPr>
          <w:rFonts w:ascii="Times New Roman" w:hAnsi="Times New Roman" w:cs="Times New Roman"/>
          <w:sz w:val="24"/>
          <w:szCs w:val="24"/>
        </w:rPr>
        <w:t>00</w:t>
      </w:r>
      <w:r w:rsidR="000F3099" w:rsidRPr="00564B42">
        <w:rPr>
          <w:rFonts w:ascii="Times New Roman" w:hAnsi="Times New Roman" w:cs="Times New Roman"/>
          <w:sz w:val="24"/>
          <w:szCs w:val="24"/>
        </w:rPr>
        <w:t xml:space="preserve"> mg</w:t>
      </w:r>
    </w:p>
    <w:p w14:paraId="1615E8DA" w14:textId="77777777" w:rsidR="00037CA8" w:rsidRPr="00564B42" w:rsidRDefault="00037CA8" w:rsidP="003A4BB7">
      <w:pPr>
        <w:autoSpaceDE w:val="0"/>
        <w:autoSpaceDN w:val="0"/>
        <w:adjustRightInd w:val="0"/>
        <w:spacing w:after="0"/>
        <w:ind w:left="-90" w:right="-333"/>
        <w:rPr>
          <w:rFonts w:ascii="Times New Roman" w:hAnsi="Times New Roman" w:cs="Times New Roman"/>
          <w:sz w:val="24"/>
          <w:szCs w:val="24"/>
          <w:highlight w:val="yellow"/>
        </w:rPr>
      </w:pPr>
    </w:p>
    <w:p w14:paraId="6192A698" w14:textId="77777777" w:rsidR="00D27614" w:rsidRPr="00564B42" w:rsidRDefault="000F3099" w:rsidP="003A4BB7">
      <w:pPr>
        <w:spacing w:after="0"/>
        <w:ind w:left="-90" w:right="-333"/>
        <w:jc w:val="both"/>
        <w:rPr>
          <w:rFonts w:ascii="Times New Roman" w:eastAsia="Times New Roman" w:hAnsi="Times New Roman" w:cs="Times New Roman"/>
          <w:b/>
          <w:i/>
          <w:sz w:val="24"/>
          <w:szCs w:val="24"/>
        </w:rPr>
      </w:pPr>
      <w:r w:rsidRPr="00564B42">
        <w:rPr>
          <w:rFonts w:ascii="Times New Roman" w:hAnsi="Times New Roman" w:cs="Times New Roman"/>
          <w:b/>
          <w:sz w:val="24"/>
          <w:szCs w:val="24"/>
        </w:rPr>
        <w:t>1.3</w:t>
      </w:r>
      <w:r w:rsidRPr="00564B42">
        <w:rPr>
          <w:rFonts w:ascii="Times New Roman" w:hAnsi="Times New Roman" w:cs="Times New Roman"/>
          <w:sz w:val="24"/>
          <w:szCs w:val="24"/>
        </w:rPr>
        <w:t xml:space="preserve"> </w:t>
      </w:r>
      <w:r w:rsidRPr="00564B42">
        <w:rPr>
          <w:rFonts w:ascii="Times New Roman" w:hAnsi="Times New Roman" w:cs="Times New Roman"/>
          <w:b/>
          <w:i/>
          <w:sz w:val="24"/>
          <w:szCs w:val="24"/>
        </w:rPr>
        <w:t>Pharmaceutical</w:t>
      </w:r>
      <w:r w:rsidR="00D27614" w:rsidRPr="00564B42">
        <w:rPr>
          <w:rFonts w:ascii="Times New Roman" w:eastAsia="Times New Roman" w:hAnsi="Times New Roman" w:cs="Times New Roman"/>
          <w:b/>
          <w:i/>
          <w:sz w:val="24"/>
          <w:szCs w:val="24"/>
        </w:rPr>
        <w:t xml:space="preserve"> form</w:t>
      </w:r>
    </w:p>
    <w:p w14:paraId="520E0649" w14:textId="48003D09" w:rsidR="00D27614" w:rsidRPr="00564B42" w:rsidRDefault="00275B44" w:rsidP="003A4BB7">
      <w:pPr>
        <w:autoSpaceDE w:val="0"/>
        <w:autoSpaceDN w:val="0"/>
        <w:adjustRightInd w:val="0"/>
        <w:spacing w:after="0"/>
        <w:ind w:left="-90" w:right="-333"/>
        <w:rPr>
          <w:rFonts w:ascii="Times New Roman" w:hAnsi="Times New Roman" w:cs="Times New Roman"/>
          <w:sz w:val="24"/>
          <w:szCs w:val="24"/>
        </w:rPr>
      </w:pPr>
      <w:r w:rsidRPr="00564B42">
        <w:rPr>
          <w:rFonts w:ascii="Times New Roman" w:eastAsia="Times New Roman" w:hAnsi="Times New Roman" w:cs="Times New Roman"/>
          <w:sz w:val="24"/>
          <w:szCs w:val="24"/>
        </w:rPr>
        <w:t>Capsules</w:t>
      </w:r>
      <w:r w:rsidR="00A76D34" w:rsidRPr="00564B42">
        <w:rPr>
          <w:rFonts w:ascii="Times New Roman" w:eastAsia="Times New Roman" w:hAnsi="Times New Roman" w:cs="Times New Roman"/>
          <w:sz w:val="24"/>
          <w:szCs w:val="24"/>
        </w:rPr>
        <w:t xml:space="preserve"> for oral administration</w:t>
      </w:r>
    </w:p>
    <w:p w14:paraId="7F13FC07" w14:textId="77777777" w:rsidR="00D27614" w:rsidRPr="00564B42" w:rsidRDefault="00D27614" w:rsidP="00C839BE">
      <w:pPr>
        <w:autoSpaceDE w:val="0"/>
        <w:autoSpaceDN w:val="0"/>
        <w:adjustRightInd w:val="0"/>
        <w:spacing w:after="0"/>
        <w:ind w:left="-360" w:right="-333"/>
        <w:rPr>
          <w:rFonts w:ascii="Times New Roman" w:hAnsi="Times New Roman" w:cs="Times New Roman"/>
          <w:sz w:val="14"/>
          <w:szCs w:val="24"/>
          <w:highlight w:val="yellow"/>
        </w:rPr>
      </w:pPr>
    </w:p>
    <w:p w14:paraId="3CB88CC2" w14:textId="77777777" w:rsidR="00B7586C" w:rsidRPr="00564B42" w:rsidRDefault="000F3099" w:rsidP="00C839BE">
      <w:pPr>
        <w:autoSpaceDE w:val="0"/>
        <w:autoSpaceDN w:val="0"/>
        <w:adjustRightInd w:val="0"/>
        <w:spacing w:after="0"/>
        <w:ind w:left="-360" w:right="-333"/>
        <w:rPr>
          <w:rFonts w:ascii="Times New Roman" w:hAnsi="Times New Roman" w:cs="Times New Roman"/>
          <w:sz w:val="24"/>
          <w:szCs w:val="24"/>
        </w:rPr>
      </w:pPr>
      <w:r w:rsidRPr="00564B42">
        <w:rPr>
          <w:rFonts w:ascii="Times New Roman" w:hAnsi="Times New Roman" w:cs="Times New Roman"/>
          <w:b/>
          <w:sz w:val="24"/>
          <w:szCs w:val="24"/>
        </w:rPr>
        <w:t>2. Qualitative</w:t>
      </w:r>
      <w:r w:rsidR="00B7586C" w:rsidRPr="00564B42">
        <w:rPr>
          <w:rFonts w:ascii="Times New Roman" w:hAnsi="Times New Roman" w:cs="Times New Roman"/>
          <w:b/>
          <w:sz w:val="24"/>
          <w:szCs w:val="24"/>
        </w:rPr>
        <w:t xml:space="preserve"> and quantitative composition</w:t>
      </w:r>
    </w:p>
    <w:p w14:paraId="01DE78A9" w14:textId="77777777" w:rsidR="00275B44" w:rsidRPr="00564B42" w:rsidRDefault="00275B44" w:rsidP="00C839BE">
      <w:pPr>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Each hard gelatin capsule contains:</w:t>
      </w:r>
    </w:p>
    <w:p w14:paraId="411542CF" w14:textId="77777777" w:rsidR="00275B44" w:rsidRPr="00564B42" w:rsidRDefault="00275B44" w:rsidP="00C839BE">
      <w:pPr>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Fluconazole USP</w:t>
      </w:r>
      <w:r w:rsidRPr="00564B42">
        <w:rPr>
          <w:rFonts w:ascii="Times New Roman" w:hAnsi="Times New Roman" w:cs="Times New Roman"/>
          <w:sz w:val="24"/>
          <w:szCs w:val="24"/>
        </w:rPr>
        <w:tab/>
        <w:t xml:space="preserve"> 200 mg </w:t>
      </w:r>
    </w:p>
    <w:p w14:paraId="36A390CC" w14:textId="67B0E0FB" w:rsidR="00BE40E7" w:rsidRPr="00564B42" w:rsidRDefault="00275B44" w:rsidP="00C839BE">
      <w:pPr>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Approved colours used in empty capsule shells</w:t>
      </w:r>
    </w:p>
    <w:p w14:paraId="07B3D89A" w14:textId="77777777" w:rsidR="00275B44" w:rsidRPr="00564B42" w:rsidRDefault="00275B44" w:rsidP="00C839BE">
      <w:pPr>
        <w:spacing w:after="0"/>
        <w:ind w:left="-360" w:right="-333"/>
        <w:jc w:val="both"/>
        <w:rPr>
          <w:rFonts w:ascii="Times New Roman" w:hAnsi="Times New Roman" w:cs="Times New Roman"/>
          <w:sz w:val="24"/>
          <w:szCs w:val="24"/>
          <w:highlight w:val="yellow"/>
        </w:rPr>
      </w:pPr>
    </w:p>
    <w:p w14:paraId="3BF6A82B" w14:textId="77777777" w:rsidR="00B7586C" w:rsidRPr="00564B42" w:rsidRDefault="00B7586C" w:rsidP="00C839BE">
      <w:pPr>
        <w:autoSpaceDE w:val="0"/>
        <w:autoSpaceDN w:val="0"/>
        <w:adjustRightInd w:val="0"/>
        <w:spacing w:after="0"/>
        <w:ind w:left="-360" w:right="-333"/>
        <w:rPr>
          <w:rFonts w:ascii="Times New Roman" w:hAnsi="Times New Roman" w:cs="Times New Roman"/>
          <w:b/>
          <w:sz w:val="24"/>
          <w:szCs w:val="24"/>
        </w:rPr>
      </w:pPr>
      <w:r w:rsidRPr="00564B42">
        <w:rPr>
          <w:rFonts w:ascii="Times New Roman" w:hAnsi="Times New Roman" w:cs="Times New Roman"/>
          <w:b/>
          <w:sz w:val="24"/>
          <w:szCs w:val="24"/>
        </w:rPr>
        <w:t>3. Pharmaceutical form</w:t>
      </w:r>
    </w:p>
    <w:p w14:paraId="54005288" w14:textId="5E600F14" w:rsidR="00A84306" w:rsidRPr="00564B42" w:rsidRDefault="005057C8" w:rsidP="00C839BE">
      <w:pPr>
        <w:autoSpaceDE w:val="0"/>
        <w:autoSpaceDN w:val="0"/>
        <w:adjustRightInd w:val="0"/>
        <w:spacing w:after="0"/>
        <w:ind w:left="-360" w:right="-333"/>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Capsules for oral administration</w:t>
      </w:r>
    </w:p>
    <w:p w14:paraId="262F49B5" w14:textId="6FD1AAF6" w:rsidR="005057C8" w:rsidRPr="00564B42" w:rsidRDefault="005057C8" w:rsidP="00C839BE">
      <w:pPr>
        <w:autoSpaceDE w:val="0"/>
        <w:autoSpaceDN w:val="0"/>
        <w:adjustRightInd w:val="0"/>
        <w:spacing w:after="0"/>
        <w:ind w:left="-360" w:right="-333"/>
        <w:rPr>
          <w:rFonts w:ascii="Times New Roman" w:hAnsi="Times New Roman" w:cs="Times New Roman"/>
          <w:sz w:val="24"/>
          <w:szCs w:val="24"/>
        </w:rPr>
      </w:pPr>
      <w:r w:rsidRPr="00564B42">
        <w:rPr>
          <w:rFonts w:ascii="Times New Roman" w:hAnsi="Times New Roman" w:cs="Times New Roman"/>
          <w:sz w:val="24"/>
          <w:szCs w:val="24"/>
        </w:rPr>
        <w:t>Blue colored cap and body hard gelatin capsule size “2” containing white crystalline powder</w:t>
      </w:r>
    </w:p>
    <w:p w14:paraId="59988B6A" w14:textId="77777777" w:rsidR="005057C8" w:rsidRPr="00564B42" w:rsidRDefault="005057C8" w:rsidP="00C839BE">
      <w:pPr>
        <w:autoSpaceDE w:val="0"/>
        <w:autoSpaceDN w:val="0"/>
        <w:adjustRightInd w:val="0"/>
        <w:spacing w:after="0"/>
        <w:ind w:left="-360" w:right="-333"/>
        <w:rPr>
          <w:rFonts w:ascii="Times New Roman" w:hAnsi="Times New Roman" w:cs="Times New Roman"/>
          <w:b/>
          <w:sz w:val="24"/>
          <w:szCs w:val="24"/>
        </w:rPr>
      </w:pPr>
    </w:p>
    <w:p w14:paraId="2B6B09D2" w14:textId="77777777" w:rsidR="00B7586C" w:rsidRPr="00564B42" w:rsidRDefault="00B7586C" w:rsidP="00C839BE">
      <w:pPr>
        <w:autoSpaceDE w:val="0"/>
        <w:autoSpaceDN w:val="0"/>
        <w:adjustRightInd w:val="0"/>
        <w:spacing w:after="0"/>
        <w:ind w:left="-360" w:right="-333"/>
        <w:rPr>
          <w:rFonts w:ascii="Times New Roman" w:hAnsi="Times New Roman" w:cs="Times New Roman"/>
          <w:b/>
          <w:sz w:val="24"/>
          <w:szCs w:val="24"/>
        </w:rPr>
      </w:pPr>
      <w:r w:rsidRPr="00564B42">
        <w:rPr>
          <w:rFonts w:ascii="Times New Roman" w:hAnsi="Times New Roman" w:cs="Times New Roman"/>
          <w:b/>
          <w:sz w:val="24"/>
          <w:szCs w:val="24"/>
        </w:rPr>
        <w:t>4. Clinical particulars</w:t>
      </w:r>
    </w:p>
    <w:p w14:paraId="44647722" w14:textId="77777777" w:rsidR="00B7586C" w:rsidRPr="00564B42" w:rsidRDefault="00B7586C" w:rsidP="00C839BE">
      <w:pPr>
        <w:autoSpaceDE w:val="0"/>
        <w:autoSpaceDN w:val="0"/>
        <w:adjustRightInd w:val="0"/>
        <w:spacing w:after="0"/>
        <w:ind w:left="-360" w:right="-333"/>
        <w:rPr>
          <w:rFonts w:ascii="Times New Roman" w:hAnsi="Times New Roman" w:cs="Times New Roman"/>
          <w:b/>
          <w:i/>
          <w:sz w:val="24"/>
          <w:szCs w:val="24"/>
        </w:rPr>
      </w:pPr>
      <w:r w:rsidRPr="00564B42">
        <w:rPr>
          <w:rFonts w:ascii="Times New Roman" w:hAnsi="Times New Roman" w:cs="Times New Roman"/>
          <w:b/>
          <w:i/>
          <w:sz w:val="24"/>
          <w:szCs w:val="24"/>
        </w:rPr>
        <w:t>4.1 Therapeutic indications</w:t>
      </w:r>
    </w:p>
    <w:p w14:paraId="732FBDC0" w14:textId="77777777" w:rsidR="005057C8" w:rsidRPr="00564B42" w:rsidRDefault="005057C8" w:rsidP="005057C8">
      <w:pPr>
        <w:shd w:val="clear" w:color="auto" w:fill="FFFFFF"/>
        <w:spacing w:after="0" w:line="240" w:lineRule="auto"/>
        <w:ind w:left="-360"/>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Fluconazole Capsules is indicated in the following fungal infections.</w:t>
      </w:r>
    </w:p>
    <w:p w14:paraId="098F65E4" w14:textId="77777777" w:rsidR="005057C8" w:rsidRPr="00564B42" w:rsidRDefault="005057C8" w:rsidP="005057C8">
      <w:pPr>
        <w:shd w:val="clear" w:color="auto" w:fill="FFFFFF"/>
        <w:spacing w:after="0" w:line="240" w:lineRule="auto"/>
        <w:ind w:left="-360"/>
        <w:rPr>
          <w:rFonts w:ascii="Times New Roman" w:eastAsia="Times New Roman" w:hAnsi="Times New Roman" w:cs="Times New Roman"/>
          <w:sz w:val="24"/>
          <w:szCs w:val="24"/>
        </w:rPr>
      </w:pPr>
    </w:p>
    <w:p w14:paraId="5D449380" w14:textId="77777777" w:rsidR="005057C8" w:rsidRPr="00564B42" w:rsidRDefault="005057C8" w:rsidP="005057C8">
      <w:pPr>
        <w:shd w:val="clear" w:color="auto" w:fill="FFFFFF"/>
        <w:spacing w:after="0" w:line="240" w:lineRule="auto"/>
        <w:ind w:left="-360"/>
        <w:rPr>
          <w:rFonts w:ascii="Times New Roman" w:eastAsia="Times New Roman" w:hAnsi="Times New Roman" w:cs="Times New Roman"/>
          <w:b/>
          <w:sz w:val="24"/>
          <w:szCs w:val="24"/>
          <w:u w:val="single"/>
        </w:rPr>
      </w:pPr>
      <w:r w:rsidRPr="00564B42">
        <w:rPr>
          <w:rFonts w:ascii="Times New Roman" w:eastAsia="Times New Roman" w:hAnsi="Times New Roman" w:cs="Times New Roman"/>
          <w:b/>
          <w:sz w:val="24"/>
          <w:szCs w:val="24"/>
          <w:u w:val="single"/>
        </w:rPr>
        <w:t>Fluconazole Capsules is indicated in adults for the treatment of:</w:t>
      </w:r>
    </w:p>
    <w:p w14:paraId="2ADB6DC4" w14:textId="77777777" w:rsidR="005057C8" w:rsidRPr="00564B42" w:rsidRDefault="005057C8" w:rsidP="00564B42">
      <w:pPr>
        <w:shd w:val="clear" w:color="auto" w:fill="FFFFFF"/>
        <w:spacing w:after="0" w:line="240" w:lineRule="auto"/>
        <w:ind w:left="-360" w:right="-423"/>
        <w:rPr>
          <w:rFonts w:ascii="Times New Roman" w:eastAsia="Times New Roman" w:hAnsi="Times New Roman" w:cs="Times New Roman"/>
          <w:sz w:val="24"/>
          <w:szCs w:val="24"/>
        </w:rPr>
      </w:pPr>
    </w:p>
    <w:p w14:paraId="3F0ED0FE" w14:textId="13C41348" w:rsidR="005057C8" w:rsidRPr="008131B7" w:rsidRDefault="005057C8" w:rsidP="008131B7">
      <w:pPr>
        <w:pStyle w:val="ListParagraph"/>
        <w:numPr>
          <w:ilvl w:val="0"/>
          <w:numId w:val="8"/>
        </w:numPr>
        <w:shd w:val="clear" w:color="auto" w:fill="FFFFFF"/>
        <w:ind w:left="-90" w:right="-423" w:hanging="270"/>
        <w:jc w:val="both"/>
      </w:pPr>
      <w:r w:rsidRPr="008131B7">
        <w:t>Cryptococcal meningitis</w:t>
      </w:r>
    </w:p>
    <w:p w14:paraId="3674837B" w14:textId="6550B9AE" w:rsidR="005057C8" w:rsidRPr="008131B7" w:rsidRDefault="005057C8" w:rsidP="008131B7">
      <w:pPr>
        <w:pStyle w:val="ListParagraph"/>
        <w:numPr>
          <w:ilvl w:val="0"/>
          <w:numId w:val="8"/>
        </w:numPr>
        <w:shd w:val="clear" w:color="auto" w:fill="FFFFFF"/>
        <w:ind w:left="-90" w:right="-423" w:hanging="270"/>
        <w:jc w:val="both"/>
      </w:pPr>
      <w:r w:rsidRPr="008131B7">
        <w:t>Coccidioidomycosis</w:t>
      </w:r>
    </w:p>
    <w:p w14:paraId="2EE4CC0B" w14:textId="7D0C6879" w:rsidR="005057C8" w:rsidRPr="008131B7" w:rsidRDefault="005057C8" w:rsidP="008131B7">
      <w:pPr>
        <w:pStyle w:val="ListParagraph"/>
        <w:numPr>
          <w:ilvl w:val="0"/>
          <w:numId w:val="8"/>
        </w:numPr>
        <w:shd w:val="clear" w:color="auto" w:fill="FFFFFF"/>
        <w:ind w:left="-90" w:right="-423" w:hanging="270"/>
        <w:jc w:val="both"/>
      </w:pPr>
      <w:r w:rsidRPr="008131B7">
        <w:t>Invasive candidiasis.</w:t>
      </w:r>
    </w:p>
    <w:p w14:paraId="1A748AFB" w14:textId="0191AEAE" w:rsidR="005057C8" w:rsidRPr="008131B7" w:rsidRDefault="005057C8" w:rsidP="008131B7">
      <w:pPr>
        <w:pStyle w:val="ListParagraph"/>
        <w:numPr>
          <w:ilvl w:val="0"/>
          <w:numId w:val="8"/>
        </w:numPr>
        <w:shd w:val="clear" w:color="auto" w:fill="FFFFFF"/>
        <w:ind w:left="-90" w:right="-423" w:hanging="270"/>
        <w:jc w:val="both"/>
      </w:pPr>
      <w:r w:rsidRPr="008131B7">
        <w:t>Mucosal candidiasis including oropharyngeal, oesophageal candidiasis, candiduria and chronic mucocutaneous candidiasis.</w:t>
      </w:r>
    </w:p>
    <w:p w14:paraId="04046F84" w14:textId="2C59FC6A" w:rsidR="005057C8" w:rsidRPr="008131B7" w:rsidRDefault="005057C8" w:rsidP="008131B7">
      <w:pPr>
        <w:pStyle w:val="ListParagraph"/>
        <w:numPr>
          <w:ilvl w:val="0"/>
          <w:numId w:val="8"/>
        </w:numPr>
        <w:shd w:val="clear" w:color="auto" w:fill="FFFFFF"/>
        <w:ind w:left="-90" w:right="-423" w:hanging="270"/>
        <w:jc w:val="both"/>
      </w:pPr>
      <w:r w:rsidRPr="008131B7">
        <w:t>Chronic oral atrophic candidiasis (denture sore mouth) if dental hygiene or topical treatment are insufficient.</w:t>
      </w:r>
    </w:p>
    <w:p w14:paraId="3936D480" w14:textId="6726373A" w:rsidR="005057C8" w:rsidRPr="008131B7" w:rsidRDefault="005057C8" w:rsidP="008131B7">
      <w:pPr>
        <w:pStyle w:val="ListParagraph"/>
        <w:numPr>
          <w:ilvl w:val="0"/>
          <w:numId w:val="8"/>
        </w:numPr>
        <w:shd w:val="clear" w:color="auto" w:fill="FFFFFF"/>
        <w:ind w:left="-90" w:right="-423" w:hanging="270"/>
        <w:jc w:val="both"/>
      </w:pPr>
      <w:r w:rsidRPr="008131B7">
        <w:t>Vaginal candidiasis, acute or recurrent; when local therapy is not appropriate.</w:t>
      </w:r>
    </w:p>
    <w:p w14:paraId="469D5862" w14:textId="2EBDC2ED" w:rsidR="005057C8" w:rsidRPr="008131B7" w:rsidRDefault="005057C8" w:rsidP="008131B7">
      <w:pPr>
        <w:pStyle w:val="ListParagraph"/>
        <w:numPr>
          <w:ilvl w:val="0"/>
          <w:numId w:val="8"/>
        </w:numPr>
        <w:shd w:val="clear" w:color="auto" w:fill="FFFFFF"/>
        <w:ind w:left="-90" w:right="-423" w:hanging="270"/>
        <w:jc w:val="both"/>
      </w:pPr>
      <w:r w:rsidRPr="008131B7">
        <w:t>Candidal balanitis when local therapy is not appropriate.</w:t>
      </w:r>
    </w:p>
    <w:p w14:paraId="2E0571C2" w14:textId="64539E86" w:rsidR="005057C8" w:rsidRPr="008131B7" w:rsidRDefault="005057C8" w:rsidP="008131B7">
      <w:pPr>
        <w:pStyle w:val="ListParagraph"/>
        <w:numPr>
          <w:ilvl w:val="0"/>
          <w:numId w:val="8"/>
        </w:numPr>
        <w:shd w:val="clear" w:color="auto" w:fill="FFFFFF"/>
        <w:ind w:left="-90" w:right="-423" w:hanging="270"/>
        <w:jc w:val="both"/>
      </w:pPr>
      <w:r w:rsidRPr="008131B7">
        <w:t>Dermatomycosis including tinea pedis, tinea corporis, tinea cruris, tinea versicolor and dermal</w:t>
      </w:r>
    </w:p>
    <w:p w14:paraId="21E9D9C6" w14:textId="77777777" w:rsidR="005057C8" w:rsidRPr="008131B7" w:rsidRDefault="005057C8" w:rsidP="008131B7">
      <w:pPr>
        <w:pStyle w:val="ListParagraph"/>
        <w:numPr>
          <w:ilvl w:val="0"/>
          <w:numId w:val="8"/>
        </w:numPr>
        <w:shd w:val="clear" w:color="auto" w:fill="FFFFFF"/>
        <w:ind w:left="-90" w:right="-423" w:hanging="270"/>
        <w:jc w:val="both"/>
      </w:pPr>
      <w:r w:rsidRPr="008131B7">
        <w:t>candida infections when systemic therapy is indicated.</w:t>
      </w:r>
    </w:p>
    <w:p w14:paraId="276BCDD2" w14:textId="1EFFC01E" w:rsidR="005057C8" w:rsidRDefault="005057C8" w:rsidP="008131B7">
      <w:pPr>
        <w:pStyle w:val="ListParagraph"/>
        <w:numPr>
          <w:ilvl w:val="0"/>
          <w:numId w:val="8"/>
        </w:numPr>
        <w:shd w:val="clear" w:color="auto" w:fill="FFFFFF"/>
        <w:ind w:left="-90" w:right="-243" w:hanging="270"/>
        <w:jc w:val="both"/>
      </w:pPr>
      <w:r w:rsidRPr="008131B7">
        <w:t>Tinea unguinium (onychomycosis) when other agents are not considered appropriate.</w:t>
      </w:r>
    </w:p>
    <w:p w14:paraId="547A0973" w14:textId="77777777" w:rsidR="008131B7" w:rsidRPr="008131B7" w:rsidRDefault="008131B7" w:rsidP="008131B7">
      <w:pPr>
        <w:pStyle w:val="ListParagraph"/>
        <w:shd w:val="clear" w:color="auto" w:fill="FFFFFF"/>
        <w:ind w:left="-90" w:right="-243"/>
        <w:jc w:val="both"/>
      </w:pPr>
    </w:p>
    <w:p w14:paraId="186A39C7" w14:textId="77777777" w:rsidR="005057C8" w:rsidRPr="00564B42" w:rsidRDefault="005057C8" w:rsidP="00564B42">
      <w:pPr>
        <w:shd w:val="clear" w:color="auto" w:fill="FFFFFF"/>
        <w:spacing w:after="0" w:line="360" w:lineRule="auto"/>
        <w:ind w:left="-360" w:right="-243"/>
        <w:rPr>
          <w:rFonts w:ascii="Times New Roman" w:eastAsia="Times New Roman" w:hAnsi="Times New Roman" w:cs="Times New Roman"/>
          <w:b/>
          <w:sz w:val="24"/>
          <w:szCs w:val="24"/>
        </w:rPr>
      </w:pPr>
      <w:r w:rsidRPr="00564B42">
        <w:rPr>
          <w:rFonts w:ascii="Times New Roman" w:eastAsia="Times New Roman" w:hAnsi="Times New Roman" w:cs="Times New Roman"/>
          <w:b/>
          <w:sz w:val="24"/>
          <w:szCs w:val="24"/>
        </w:rPr>
        <w:lastRenderedPageBreak/>
        <w:t>Fluconazole Capsules is indicated in adults for the prophylaxis of:</w:t>
      </w:r>
    </w:p>
    <w:p w14:paraId="408FBEAB" w14:textId="77777777" w:rsidR="008131B7" w:rsidRDefault="005057C8" w:rsidP="008131B7">
      <w:pPr>
        <w:pStyle w:val="ListParagraph"/>
        <w:numPr>
          <w:ilvl w:val="0"/>
          <w:numId w:val="13"/>
        </w:numPr>
        <w:shd w:val="clear" w:color="auto" w:fill="FFFFFF"/>
        <w:ind w:left="-90" w:right="-243" w:hanging="270"/>
        <w:jc w:val="both"/>
      </w:pPr>
      <w:r w:rsidRPr="008131B7">
        <w:t>Relapse of cryptococcal meningitis in patients with high risk of recurrence.</w:t>
      </w:r>
    </w:p>
    <w:p w14:paraId="0D7D96A6" w14:textId="77777777" w:rsidR="008131B7" w:rsidRDefault="005057C8" w:rsidP="008131B7">
      <w:pPr>
        <w:pStyle w:val="ListParagraph"/>
        <w:numPr>
          <w:ilvl w:val="0"/>
          <w:numId w:val="13"/>
        </w:numPr>
        <w:shd w:val="clear" w:color="auto" w:fill="FFFFFF"/>
        <w:ind w:left="-90" w:right="-243" w:hanging="270"/>
        <w:jc w:val="both"/>
      </w:pPr>
      <w:r w:rsidRPr="008131B7">
        <w:t>Relapse of oropharyngeal or oesophageal candidiasis in patients infected with HIV who are at high risk of experiencing relapse.</w:t>
      </w:r>
    </w:p>
    <w:p w14:paraId="7AC79104" w14:textId="77777777" w:rsidR="008131B7" w:rsidRDefault="005057C8" w:rsidP="008131B7">
      <w:pPr>
        <w:pStyle w:val="ListParagraph"/>
        <w:numPr>
          <w:ilvl w:val="0"/>
          <w:numId w:val="13"/>
        </w:numPr>
        <w:shd w:val="clear" w:color="auto" w:fill="FFFFFF"/>
        <w:ind w:left="-90" w:right="-243" w:hanging="270"/>
        <w:jc w:val="both"/>
      </w:pPr>
      <w:r w:rsidRPr="008131B7">
        <w:t>To reduce the incidence of recurrent vaginal candidiasis (4 or more episodes a year).</w:t>
      </w:r>
    </w:p>
    <w:p w14:paraId="3C27C864" w14:textId="2786D5DF" w:rsidR="005057C8" w:rsidRPr="008131B7" w:rsidRDefault="005057C8" w:rsidP="008131B7">
      <w:pPr>
        <w:pStyle w:val="ListParagraph"/>
        <w:numPr>
          <w:ilvl w:val="0"/>
          <w:numId w:val="13"/>
        </w:numPr>
        <w:shd w:val="clear" w:color="auto" w:fill="FFFFFF"/>
        <w:ind w:left="-90" w:right="-243" w:hanging="270"/>
        <w:jc w:val="both"/>
      </w:pPr>
      <w:r w:rsidRPr="008131B7">
        <w:t>Prophylaxis of candidal infections in patients with prolonged neutropenia (such as patients with haematological malignancies receiving chemotherapy or patients receiving Hematopoietic Stem Cell Transplantation).</w:t>
      </w:r>
    </w:p>
    <w:p w14:paraId="0F8AA089" w14:textId="77777777" w:rsidR="005057C8" w:rsidRPr="00564B42" w:rsidRDefault="005057C8" w:rsidP="00564B42">
      <w:pPr>
        <w:shd w:val="clear" w:color="auto" w:fill="FFFFFF"/>
        <w:spacing w:after="0" w:line="360" w:lineRule="auto"/>
        <w:ind w:left="-360" w:right="-243"/>
        <w:rPr>
          <w:rFonts w:ascii="Times New Roman" w:eastAsia="Times New Roman" w:hAnsi="Times New Roman" w:cs="Times New Roman"/>
          <w:b/>
          <w:sz w:val="24"/>
          <w:szCs w:val="24"/>
        </w:rPr>
      </w:pPr>
      <w:r w:rsidRPr="00564B42">
        <w:rPr>
          <w:rFonts w:ascii="Times New Roman" w:eastAsia="Times New Roman" w:hAnsi="Times New Roman" w:cs="Times New Roman"/>
          <w:b/>
          <w:sz w:val="24"/>
          <w:szCs w:val="24"/>
        </w:rPr>
        <w:t>Fluconazole Capsules is indicated in term newborn infants, infants, toddlers, children, and adolescents aged from 0 to 17 years old:</w:t>
      </w:r>
    </w:p>
    <w:p w14:paraId="543D504E" w14:textId="77777777" w:rsidR="005057C8" w:rsidRPr="00564B42" w:rsidRDefault="005057C8" w:rsidP="00564B42">
      <w:pPr>
        <w:shd w:val="clear" w:color="auto" w:fill="FFFFFF"/>
        <w:spacing w:after="0"/>
        <w:ind w:left="-360" w:right="-243"/>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Fluconazole Capsules is used for the treatment of mucosal candidiasis (oropharyngeal, oesophageal), invasive candidiasis, cryptococcal meningitis and the prophylaxis of candidal infections in immunocompromised patients. Diflucan can be used as maintenance therapy to prevent relapse of cryptococcal meningitis in children with high risk of reoccurrence.</w:t>
      </w:r>
    </w:p>
    <w:p w14:paraId="4F3EB2CF" w14:textId="77777777" w:rsidR="005057C8" w:rsidRPr="00564B42" w:rsidRDefault="005057C8" w:rsidP="00564B42">
      <w:pPr>
        <w:shd w:val="clear" w:color="auto" w:fill="FFFFFF"/>
        <w:spacing w:after="0"/>
        <w:ind w:left="-360" w:right="-243"/>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Therapy may be instituted before the results of the cultures and other laboratory studies are known; however, once these results become available, anti-infective therapy should be adjusted accordingly.</w:t>
      </w:r>
    </w:p>
    <w:p w14:paraId="273133D2" w14:textId="335E7F86" w:rsidR="000F3099" w:rsidRPr="00564B42" w:rsidRDefault="005057C8" w:rsidP="00564B42">
      <w:pPr>
        <w:shd w:val="clear" w:color="auto" w:fill="FFFFFF"/>
        <w:spacing w:after="0"/>
        <w:ind w:left="-360" w:right="-243"/>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Consideration should be given to official guidance on the appropriate use of antifungals.</w:t>
      </w:r>
    </w:p>
    <w:p w14:paraId="4B4F06BB" w14:textId="77777777" w:rsidR="005057C8" w:rsidRPr="00564B42" w:rsidRDefault="005057C8" w:rsidP="005057C8">
      <w:pPr>
        <w:autoSpaceDE w:val="0"/>
        <w:autoSpaceDN w:val="0"/>
        <w:adjustRightInd w:val="0"/>
        <w:spacing w:after="0"/>
        <w:ind w:left="-360" w:right="-333"/>
        <w:jc w:val="both"/>
        <w:rPr>
          <w:highlight w:val="yellow"/>
        </w:rPr>
      </w:pPr>
    </w:p>
    <w:p w14:paraId="259DC666" w14:textId="77777777" w:rsidR="00B7586C" w:rsidRPr="00564B42" w:rsidRDefault="00B7586C" w:rsidP="00C839BE">
      <w:pPr>
        <w:autoSpaceDE w:val="0"/>
        <w:autoSpaceDN w:val="0"/>
        <w:adjustRightInd w:val="0"/>
        <w:spacing w:after="0"/>
        <w:ind w:left="-360" w:right="-333"/>
        <w:jc w:val="both"/>
        <w:rPr>
          <w:rFonts w:ascii="Times New Roman" w:hAnsi="Times New Roman" w:cs="Times New Roman"/>
          <w:b/>
          <w:sz w:val="24"/>
          <w:szCs w:val="24"/>
          <w:highlight w:val="yellow"/>
        </w:rPr>
      </w:pPr>
      <w:r w:rsidRPr="00564B42">
        <w:rPr>
          <w:rFonts w:ascii="Times New Roman" w:hAnsi="Times New Roman" w:cs="Times New Roman"/>
          <w:b/>
          <w:sz w:val="24"/>
          <w:szCs w:val="24"/>
        </w:rPr>
        <w:t>4.2 Posology and method of administration</w:t>
      </w:r>
    </w:p>
    <w:p w14:paraId="364AD846" w14:textId="77777777" w:rsidR="002D058D" w:rsidRPr="00564B42" w:rsidRDefault="002D058D" w:rsidP="00224A2E">
      <w:pPr>
        <w:shd w:val="clear" w:color="auto" w:fill="FFFFFF"/>
        <w:spacing w:after="0"/>
        <w:ind w:left="-360" w:right="-333"/>
        <w:jc w:val="both"/>
        <w:rPr>
          <w:rFonts w:ascii="Times New Roman" w:eastAsia="Times New Roman" w:hAnsi="Times New Roman" w:cs="Times New Roman"/>
          <w:b/>
          <w:bCs/>
          <w:sz w:val="24"/>
          <w:szCs w:val="24"/>
        </w:rPr>
      </w:pPr>
      <w:r w:rsidRPr="00564B42">
        <w:rPr>
          <w:rFonts w:ascii="Times New Roman" w:eastAsia="Times New Roman" w:hAnsi="Times New Roman" w:cs="Times New Roman"/>
          <w:b/>
          <w:bCs/>
          <w:sz w:val="24"/>
          <w:szCs w:val="24"/>
          <w:u w:val="single"/>
        </w:rPr>
        <w:t>Posology</w:t>
      </w:r>
    </w:p>
    <w:p w14:paraId="2B1D14B6" w14:textId="77777777" w:rsidR="005057C8" w:rsidRPr="00564B42" w:rsidRDefault="005057C8" w:rsidP="00564B42">
      <w:pPr>
        <w:pStyle w:val="NormalWeb"/>
        <w:shd w:val="clear" w:color="auto" w:fill="FFFFFF"/>
        <w:spacing w:after="0"/>
        <w:ind w:left="-360" w:right="-243"/>
        <w:jc w:val="both"/>
        <w:rPr>
          <w:iCs/>
        </w:rPr>
      </w:pPr>
      <w:r w:rsidRPr="00564B42">
        <w:rPr>
          <w:iCs/>
        </w:rPr>
        <w:t>Posology: The dose should be based on the nature and severity of the fungal infection.  Treatment of infections requiring multiple dosing should be continued until clinical parameters or laboratory tests indicate that active fungal infection has subsided. An inadequate period of treatment may lead to recurrence of active infection.</w:t>
      </w:r>
    </w:p>
    <w:tbl>
      <w:tblPr>
        <w:tblW w:w="100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700"/>
        <w:gridCol w:w="2431"/>
        <w:gridCol w:w="2789"/>
      </w:tblGrid>
      <w:tr w:rsidR="00E20520" w:rsidRPr="00564B42" w14:paraId="661C4357" w14:textId="77777777" w:rsidTr="005057C8">
        <w:trPr>
          <w:trHeight w:val="263"/>
        </w:trPr>
        <w:tc>
          <w:tcPr>
            <w:tcW w:w="4860" w:type="dxa"/>
            <w:gridSpan w:val="2"/>
          </w:tcPr>
          <w:p w14:paraId="7FD0B625" w14:textId="77777777" w:rsidR="005057C8" w:rsidRPr="00564B42" w:rsidRDefault="005057C8" w:rsidP="00BB20DE">
            <w:pPr>
              <w:pStyle w:val="TableParagraph"/>
              <w:spacing w:line="244" w:lineRule="exact"/>
              <w:rPr>
                <w:b/>
                <w:sz w:val="24"/>
                <w:szCs w:val="24"/>
              </w:rPr>
            </w:pPr>
            <w:r w:rsidRPr="00564B42">
              <w:rPr>
                <w:b/>
                <w:sz w:val="24"/>
                <w:szCs w:val="24"/>
              </w:rPr>
              <w:t>Indications</w:t>
            </w:r>
          </w:p>
        </w:tc>
        <w:tc>
          <w:tcPr>
            <w:tcW w:w="2431" w:type="dxa"/>
          </w:tcPr>
          <w:p w14:paraId="04E8B111" w14:textId="77777777" w:rsidR="005057C8" w:rsidRPr="00564B42" w:rsidRDefault="005057C8" w:rsidP="00BB20DE">
            <w:pPr>
              <w:pStyle w:val="TableParagraph"/>
              <w:spacing w:line="244" w:lineRule="exact"/>
              <w:rPr>
                <w:b/>
                <w:sz w:val="24"/>
                <w:szCs w:val="24"/>
              </w:rPr>
            </w:pPr>
            <w:r w:rsidRPr="00564B42">
              <w:rPr>
                <w:b/>
                <w:sz w:val="24"/>
                <w:szCs w:val="24"/>
              </w:rPr>
              <w:t>Posology</w:t>
            </w:r>
          </w:p>
        </w:tc>
        <w:tc>
          <w:tcPr>
            <w:tcW w:w="2789" w:type="dxa"/>
          </w:tcPr>
          <w:p w14:paraId="6DDD83F5" w14:textId="77777777" w:rsidR="005057C8" w:rsidRPr="00564B42" w:rsidRDefault="005057C8" w:rsidP="00BB20DE">
            <w:pPr>
              <w:pStyle w:val="TableParagraph"/>
              <w:spacing w:line="244" w:lineRule="exact"/>
              <w:ind w:left="105"/>
              <w:rPr>
                <w:b/>
                <w:sz w:val="24"/>
                <w:szCs w:val="24"/>
              </w:rPr>
            </w:pPr>
            <w:r w:rsidRPr="00564B42">
              <w:rPr>
                <w:b/>
                <w:sz w:val="24"/>
                <w:szCs w:val="24"/>
              </w:rPr>
              <w:t>Duration of treatment</w:t>
            </w:r>
          </w:p>
        </w:tc>
      </w:tr>
      <w:tr w:rsidR="00E20520" w:rsidRPr="00564B42" w14:paraId="14CC4D19" w14:textId="77777777" w:rsidTr="008131B7">
        <w:trPr>
          <w:trHeight w:val="1338"/>
        </w:trPr>
        <w:tc>
          <w:tcPr>
            <w:tcW w:w="2160" w:type="dxa"/>
            <w:vMerge w:val="restart"/>
          </w:tcPr>
          <w:p w14:paraId="65504BD3" w14:textId="77777777" w:rsidR="005057C8" w:rsidRPr="00564B42" w:rsidRDefault="005057C8" w:rsidP="00BB20DE">
            <w:pPr>
              <w:pStyle w:val="TableParagraph"/>
              <w:spacing w:before="1"/>
              <w:rPr>
                <w:b/>
                <w:sz w:val="24"/>
                <w:szCs w:val="24"/>
              </w:rPr>
            </w:pPr>
            <w:r w:rsidRPr="00564B42">
              <w:rPr>
                <w:b/>
                <w:sz w:val="24"/>
                <w:szCs w:val="24"/>
              </w:rPr>
              <w:t>Cryptococcosis</w:t>
            </w:r>
          </w:p>
        </w:tc>
        <w:tc>
          <w:tcPr>
            <w:tcW w:w="2700" w:type="dxa"/>
          </w:tcPr>
          <w:p w14:paraId="5479DB15" w14:textId="77777777" w:rsidR="005057C8" w:rsidRPr="00564B42" w:rsidRDefault="005057C8" w:rsidP="00BB20DE">
            <w:pPr>
              <w:pStyle w:val="TableParagraph"/>
              <w:tabs>
                <w:tab w:val="left" w:pos="2310"/>
              </w:tabs>
              <w:spacing w:line="261" w:lineRule="exact"/>
              <w:ind w:left="105"/>
              <w:rPr>
                <w:sz w:val="24"/>
                <w:szCs w:val="24"/>
              </w:rPr>
            </w:pPr>
            <w:r w:rsidRPr="00564B42">
              <w:rPr>
                <w:sz w:val="24"/>
                <w:szCs w:val="24"/>
              </w:rPr>
              <w:t>Treatment</w:t>
            </w:r>
            <w:r w:rsidRPr="00564B42">
              <w:rPr>
                <w:sz w:val="24"/>
                <w:szCs w:val="24"/>
              </w:rPr>
              <w:tab/>
              <w:t>of</w:t>
            </w:r>
          </w:p>
          <w:p w14:paraId="61D69104" w14:textId="77777777" w:rsidR="005057C8" w:rsidRPr="00564B42" w:rsidRDefault="005057C8" w:rsidP="00BB20DE">
            <w:pPr>
              <w:pStyle w:val="TableParagraph"/>
              <w:spacing w:line="264" w:lineRule="exact"/>
              <w:ind w:left="105"/>
              <w:rPr>
                <w:sz w:val="24"/>
                <w:szCs w:val="24"/>
              </w:rPr>
            </w:pPr>
            <w:r w:rsidRPr="00564B42">
              <w:rPr>
                <w:sz w:val="24"/>
                <w:szCs w:val="24"/>
              </w:rPr>
              <w:t>cryptococcal meningitis.</w:t>
            </w:r>
          </w:p>
        </w:tc>
        <w:tc>
          <w:tcPr>
            <w:tcW w:w="2431" w:type="dxa"/>
          </w:tcPr>
          <w:p w14:paraId="7F861EDD" w14:textId="77777777" w:rsidR="005057C8" w:rsidRPr="00564B42" w:rsidRDefault="005057C8" w:rsidP="00BB20DE">
            <w:pPr>
              <w:pStyle w:val="TableParagraph"/>
              <w:spacing w:line="237" w:lineRule="auto"/>
              <w:ind w:right="96"/>
              <w:rPr>
                <w:sz w:val="24"/>
                <w:szCs w:val="24"/>
              </w:rPr>
            </w:pPr>
            <w:r w:rsidRPr="00564B42">
              <w:rPr>
                <w:sz w:val="24"/>
                <w:szCs w:val="24"/>
              </w:rPr>
              <w:t>Loading dose: 400 mg on Day 1</w:t>
            </w:r>
          </w:p>
          <w:p w14:paraId="575B1160" w14:textId="77777777" w:rsidR="005057C8" w:rsidRPr="00564B42" w:rsidRDefault="005057C8" w:rsidP="00BB20DE">
            <w:pPr>
              <w:pStyle w:val="TableParagraph"/>
              <w:spacing w:before="8"/>
              <w:ind w:left="0"/>
              <w:rPr>
                <w:b/>
                <w:sz w:val="24"/>
                <w:szCs w:val="24"/>
              </w:rPr>
            </w:pPr>
          </w:p>
          <w:p w14:paraId="5BB66AE9" w14:textId="77777777" w:rsidR="005057C8" w:rsidRPr="00564B42" w:rsidRDefault="005057C8" w:rsidP="00BB20DE">
            <w:pPr>
              <w:pStyle w:val="TableParagraph"/>
              <w:spacing w:before="1" w:line="264" w:lineRule="exact"/>
              <w:ind w:right="96"/>
              <w:rPr>
                <w:sz w:val="24"/>
                <w:szCs w:val="24"/>
              </w:rPr>
            </w:pPr>
            <w:r w:rsidRPr="00564B42">
              <w:rPr>
                <w:sz w:val="24"/>
                <w:szCs w:val="24"/>
              </w:rPr>
              <w:t>Subsequent dose: 200 mg to 400 mg daily</w:t>
            </w:r>
          </w:p>
        </w:tc>
        <w:tc>
          <w:tcPr>
            <w:tcW w:w="2789" w:type="dxa"/>
          </w:tcPr>
          <w:p w14:paraId="00306116" w14:textId="77777777" w:rsidR="005057C8" w:rsidRPr="00564B42" w:rsidRDefault="005057C8" w:rsidP="00BB20DE">
            <w:pPr>
              <w:pStyle w:val="TableParagraph"/>
              <w:spacing w:line="258" w:lineRule="exact"/>
              <w:ind w:left="105"/>
              <w:rPr>
                <w:sz w:val="24"/>
                <w:szCs w:val="24"/>
              </w:rPr>
            </w:pPr>
            <w:r w:rsidRPr="00564B42">
              <w:rPr>
                <w:sz w:val="24"/>
                <w:szCs w:val="24"/>
              </w:rPr>
              <w:t>Usually at least 6 to 8 weeks.</w:t>
            </w:r>
          </w:p>
          <w:p w14:paraId="348FB7DC" w14:textId="77777777" w:rsidR="00E20520" w:rsidRPr="00564B42" w:rsidRDefault="00E20520" w:rsidP="00E20520">
            <w:pPr>
              <w:pStyle w:val="TableParagraph"/>
              <w:ind w:left="0"/>
              <w:rPr>
                <w:sz w:val="24"/>
                <w:szCs w:val="24"/>
              </w:rPr>
            </w:pPr>
            <w:r w:rsidRPr="00564B42">
              <w:rPr>
                <w:b/>
                <w:sz w:val="24"/>
                <w:szCs w:val="24"/>
              </w:rPr>
              <w:t xml:space="preserve">  </w:t>
            </w:r>
            <w:r w:rsidRPr="00564B42">
              <w:rPr>
                <w:sz w:val="24"/>
                <w:szCs w:val="24"/>
              </w:rPr>
              <w:t xml:space="preserve">In life threatening     </w:t>
            </w:r>
          </w:p>
          <w:p w14:paraId="0DEE476C" w14:textId="30EEB931" w:rsidR="005057C8" w:rsidRPr="00564B42" w:rsidRDefault="00E20520" w:rsidP="00E20520">
            <w:pPr>
              <w:pStyle w:val="TableParagraph"/>
              <w:ind w:left="0"/>
              <w:rPr>
                <w:sz w:val="24"/>
                <w:szCs w:val="24"/>
              </w:rPr>
            </w:pPr>
            <w:r w:rsidRPr="00564B42">
              <w:rPr>
                <w:sz w:val="24"/>
                <w:szCs w:val="24"/>
              </w:rPr>
              <w:t xml:space="preserve">  </w:t>
            </w:r>
            <w:r w:rsidR="005057C8" w:rsidRPr="00564B42">
              <w:rPr>
                <w:sz w:val="24"/>
                <w:szCs w:val="24"/>
              </w:rPr>
              <w:t>infections the</w:t>
            </w:r>
          </w:p>
          <w:p w14:paraId="0936C265" w14:textId="77777777" w:rsidR="005057C8" w:rsidRPr="00564B42" w:rsidRDefault="005057C8" w:rsidP="00BB20DE">
            <w:pPr>
              <w:pStyle w:val="TableParagraph"/>
              <w:spacing w:before="5" w:line="264" w:lineRule="exact"/>
              <w:ind w:left="105"/>
              <w:rPr>
                <w:sz w:val="24"/>
                <w:szCs w:val="24"/>
              </w:rPr>
            </w:pPr>
            <w:r w:rsidRPr="00564B42">
              <w:rPr>
                <w:sz w:val="24"/>
                <w:szCs w:val="24"/>
              </w:rPr>
              <w:t>daily dose can be increased to 800 mg</w:t>
            </w:r>
          </w:p>
        </w:tc>
      </w:tr>
      <w:tr w:rsidR="00E20520" w:rsidRPr="00564B42" w14:paraId="57374FDF" w14:textId="77777777" w:rsidTr="008131B7">
        <w:trPr>
          <w:trHeight w:val="1322"/>
        </w:trPr>
        <w:tc>
          <w:tcPr>
            <w:tcW w:w="2160" w:type="dxa"/>
            <w:vMerge/>
            <w:tcBorders>
              <w:top w:val="nil"/>
            </w:tcBorders>
          </w:tcPr>
          <w:p w14:paraId="7CB67898" w14:textId="088D547B" w:rsidR="005057C8" w:rsidRPr="00564B42" w:rsidRDefault="005057C8" w:rsidP="00BB20DE">
            <w:pPr>
              <w:rPr>
                <w:rFonts w:ascii="Times New Roman" w:hAnsi="Times New Roman" w:cs="Times New Roman"/>
                <w:sz w:val="24"/>
                <w:szCs w:val="24"/>
              </w:rPr>
            </w:pPr>
          </w:p>
        </w:tc>
        <w:tc>
          <w:tcPr>
            <w:tcW w:w="2700" w:type="dxa"/>
          </w:tcPr>
          <w:p w14:paraId="7F3D481D" w14:textId="77777777" w:rsidR="005057C8" w:rsidRPr="00564B42" w:rsidRDefault="005057C8" w:rsidP="00BB20DE">
            <w:pPr>
              <w:pStyle w:val="TableParagraph"/>
              <w:ind w:left="105" w:right="95"/>
              <w:jc w:val="both"/>
              <w:rPr>
                <w:sz w:val="24"/>
                <w:szCs w:val="24"/>
              </w:rPr>
            </w:pPr>
            <w:r w:rsidRPr="00564B42">
              <w:rPr>
                <w:sz w:val="24"/>
                <w:szCs w:val="24"/>
              </w:rPr>
              <w:t xml:space="preserve">Maintenance therapy to prevent relapse </w:t>
            </w:r>
            <w:r w:rsidRPr="00564B42">
              <w:rPr>
                <w:spacing w:val="-6"/>
                <w:sz w:val="24"/>
                <w:szCs w:val="24"/>
              </w:rPr>
              <w:t xml:space="preserve">of </w:t>
            </w:r>
            <w:r w:rsidRPr="00564B42">
              <w:rPr>
                <w:sz w:val="24"/>
                <w:szCs w:val="24"/>
              </w:rPr>
              <w:t>cryptococcal meningitis in patients with high</w:t>
            </w:r>
            <w:r w:rsidRPr="00564B42">
              <w:rPr>
                <w:spacing w:val="-19"/>
                <w:sz w:val="24"/>
                <w:szCs w:val="24"/>
              </w:rPr>
              <w:t xml:space="preserve"> </w:t>
            </w:r>
            <w:r w:rsidRPr="00564B42">
              <w:rPr>
                <w:sz w:val="24"/>
                <w:szCs w:val="24"/>
              </w:rPr>
              <w:t>risk</w:t>
            </w:r>
          </w:p>
          <w:p w14:paraId="6D048C20" w14:textId="77777777" w:rsidR="005057C8" w:rsidRPr="00564B42" w:rsidRDefault="005057C8" w:rsidP="00BB20DE">
            <w:pPr>
              <w:pStyle w:val="TableParagraph"/>
              <w:spacing w:line="250" w:lineRule="exact"/>
              <w:ind w:left="105"/>
              <w:jc w:val="both"/>
              <w:rPr>
                <w:sz w:val="24"/>
                <w:szCs w:val="24"/>
              </w:rPr>
            </w:pPr>
            <w:r w:rsidRPr="00564B42">
              <w:rPr>
                <w:sz w:val="24"/>
                <w:szCs w:val="24"/>
              </w:rPr>
              <w:t>of recurrence.</w:t>
            </w:r>
          </w:p>
        </w:tc>
        <w:tc>
          <w:tcPr>
            <w:tcW w:w="2431" w:type="dxa"/>
          </w:tcPr>
          <w:p w14:paraId="628090BF" w14:textId="77777777" w:rsidR="005057C8" w:rsidRPr="00564B42" w:rsidRDefault="005057C8" w:rsidP="00BB20DE">
            <w:pPr>
              <w:pStyle w:val="TableParagraph"/>
              <w:spacing w:line="258" w:lineRule="exact"/>
              <w:rPr>
                <w:sz w:val="24"/>
                <w:szCs w:val="24"/>
              </w:rPr>
            </w:pPr>
            <w:r w:rsidRPr="00564B42">
              <w:rPr>
                <w:sz w:val="24"/>
                <w:szCs w:val="24"/>
              </w:rPr>
              <w:t>200 mg daily</w:t>
            </w:r>
          </w:p>
        </w:tc>
        <w:tc>
          <w:tcPr>
            <w:tcW w:w="2789" w:type="dxa"/>
          </w:tcPr>
          <w:p w14:paraId="793DE997" w14:textId="77777777" w:rsidR="005057C8" w:rsidRPr="00564B42" w:rsidRDefault="005057C8" w:rsidP="00BB20DE">
            <w:pPr>
              <w:pStyle w:val="TableParagraph"/>
              <w:ind w:left="105" w:right="96"/>
              <w:rPr>
                <w:sz w:val="24"/>
                <w:szCs w:val="24"/>
              </w:rPr>
            </w:pPr>
            <w:r w:rsidRPr="00564B42">
              <w:rPr>
                <w:sz w:val="24"/>
                <w:szCs w:val="24"/>
              </w:rPr>
              <w:t>Indefinitely at a daily dose of 200 mg</w:t>
            </w:r>
          </w:p>
        </w:tc>
      </w:tr>
      <w:tr w:rsidR="00E20520" w:rsidRPr="00564B42" w14:paraId="41F705A4" w14:textId="77777777" w:rsidTr="008131B7">
        <w:trPr>
          <w:trHeight w:val="1321"/>
        </w:trPr>
        <w:tc>
          <w:tcPr>
            <w:tcW w:w="2160" w:type="dxa"/>
          </w:tcPr>
          <w:p w14:paraId="00000E55" w14:textId="77777777" w:rsidR="005057C8" w:rsidRPr="00564B42" w:rsidRDefault="005057C8" w:rsidP="00BB20DE">
            <w:pPr>
              <w:pStyle w:val="TableParagraph"/>
              <w:spacing w:line="263" w:lineRule="exact"/>
              <w:rPr>
                <w:b/>
                <w:sz w:val="24"/>
                <w:szCs w:val="24"/>
              </w:rPr>
            </w:pPr>
            <w:r w:rsidRPr="00564B42">
              <w:rPr>
                <w:b/>
                <w:sz w:val="24"/>
                <w:szCs w:val="24"/>
              </w:rPr>
              <w:lastRenderedPageBreak/>
              <w:t>Coccidioidomycosis</w:t>
            </w:r>
          </w:p>
        </w:tc>
        <w:tc>
          <w:tcPr>
            <w:tcW w:w="2700" w:type="dxa"/>
          </w:tcPr>
          <w:p w14:paraId="1D329112" w14:textId="77777777" w:rsidR="005057C8" w:rsidRPr="00564B42" w:rsidRDefault="005057C8" w:rsidP="00BB20DE">
            <w:pPr>
              <w:pStyle w:val="TableParagraph"/>
              <w:ind w:left="0"/>
              <w:rPr>
                <w:sz w:val="24"/>
                <w:szCs w:val="24"/>
              </w:rPr>
            </w:pPr>
          </w:p>
        </w:tc>
        <w:tc>
          <w:tcPr>
            <w:tcW w:w="2431" w:type="dxa"/>
          </w:tcPr>
          <w:p w14:paraId="37F4303D" w14:textId="77777777" w:rsidR="005057C8" w:rsidRPr="00564B42" w:rsidRDefault="005057C8" w:rsidP="00BB20DE">
            <w:pPr>
              <w:pStyle w:val="TableParagraph"/>
              <w:spacing w:line="258" w:lineRule="exact"/>
              <w:rPr>
                <w:sz w:val="24"/>
                <w:szCs w:val="24"/>
              </w:rPr>
            </w:pPr>
            <w:r w:rsidRPr="00564B42">
              <w:rPr>
                <w:sz w:val="24"/>
                <w:szCs w:val="24"/>
              </w:rPr>
              <w:t>200 to 400 mg daily</w:t>
            </w:r>
          </w:p>
        </w:tc>
        <w:tc>
          <w:tcPr>
            <w:tcW w:w="2789" w:type="dxa"/>
          </w:tcPr>
          <w:p w14:paraId="3BD3A894" w14:textId="66716A34" w:rsidR="005057C8" w:rsidRPr="00564B42" w:rsidRDefault="005057C8" w:rsidP="00E20520">
            <w:pPr>
              <w:pStyle w:val="TableParagraph"/>
              <w:ind w:left="105" w:right="96"/>
              <w:jc w:val="both"/>
              <w:rPr>
                <w:sz w:val="24"/>
                <w:szCs w:val="24"/>
              </w:rPr>
            </w:pPr>
            <w:r w:rsidRPr="00564B42">
              <w:rPr>
                <w:sz w:val="24"/>
                <w:szCs w:val="24"/>
              </w:rPr>
              <w:t>11 months up to 24 months or longer depending on the patient. 800 mg daily may be considered</w:t>
            </w:r>
            <w:r w:rsidR="00E20520" w:rsidRPr="00564B42">
              <w:rPr>
                <w:sz w:val="24"/>
                <w:szCs w:val="24"/>
              </w:rPr>
              <w:t xml:space="preserve"> </w:t>
            </w:r>
            <w:r w:rsidRPr="00564B42">
              <w:rPr>
                <w:sz w:val="24"/>
                <w:szCs w:val="24"/>
              </w:rPr>
              <w:t>for some infections and especially for meningeal disease</w:t>
            </w:r>
          </w:p>
        </w:tc>
      </w:tr>
      <w:tr w:rsidR="00E20520" w:rsidRPr="00564B42" w14:paraId="6935F9CB" w14:textId="77777777" w:rsidTr="008131B7">
        <w:trPr>
          <w:trHeight w:val="1588"/>
        </w:trPr>
        <w:tc>
          <w:tcPr>
            <w:tcW w:w="2160" w:type="dxa"/>
          </w:tcPr>
          <w:p w14:paraId="3CA0302E" w14:textId="77777777" w:rsidR="005057C8" w:rsidRPr="00564B42" w:rsidRDefault="005057C8" w:rsidP="00BB20DE">
            <w:pPr>
              <w:pStyle w:val="TableParagraph"/>
              <w:spacing w:before="1"/>
              <w:rPr>
                <w:b/>
                <w:sz w:val="24"/>
                <w:szCs w:val="24"/>
              </w:rPr>
            </w:pPr>
            <w:r w:rsidRPr="00564B42">
              <w:rPr>
                <w:b/>
                <w:sz w:val="24"/>
                <w:szCs w:val="24"/>
              </w:rPr>
              <w:t>Invasive candidiasis</w:t>
            </w:r>
          </w:p>
        </w:tc>
        <w:tc>
          <w:tcPr>
            <w:tcW w:w="2700" w:type="dxa"/>
          </w:tcPr>
          <w:p w14:paraId="6865391D" w14:textId="77777777" w:rsidR="005057C8" w:rsidRPr="00564B42" w:rsidRDefault="005057C8" w:rsidP="00BB20DE">
            <w:pPr>
              <w:pStyle w:val="TableParagraph"/>
              <w:ind w:left="0"/>
              <w:rPr>
                <w:sz w:val="24"/>
                <w:szCs w:val="24"/>
              </w:rPr>
            </w:pPr>
          </w:p>
        </w:tc>
        <w:tc>
          <w:tcPr>
            <w:tcW w:w="2431" w:type="dxa"/>
          </w:tcPr>
          <w:p w14:paraId="0E4CF6AA" w14:textId="77777777" w:rsidR="005057C8" w:rsidRPr="00564B42" w:rsidRDefault="005057C8" w:rsidP="00BB20DE">
            <w:pPr>
              <w:pStyle w:val="TableParagraph"/>
              <w:spacing w:line="237" w:lineRule="auto"/>
              <w:ind w:right="96"/>
              <w:rPr>
                <w:sz w:val="24"/>
                <w:szCs w:val="24"/>
              </w:rPr>
            </w:pPr>
            <w:r w:rsidRPr="00564B42">
              <w:rPr>
                <w:sz w:val="24"/>
                <w:szCs w:val="24"/>
              </w:rPr>
              <w:t xml:space="preserve">Loading dose: 800 </w:t>
            </w:r>
            <w:r w:rsidRPr="00564B42">
              <w:rPr>
                <w:spacing w:val="-7"/>
                <w:sz w:val="24"/>
                <w:szCs w:val="24"/>
              </w:rPr>
              <w:t xml:space="preserve">mg </w:t>
            </w:r>
            <w:r w:rsidRPr="00564B42">
              <w:rPr>
                <w:sz w:val="24"/>
                <w:szCs w:val="24"/>
              </w:rPr>
              <w:t>on Day</w:t>
            </w:r>
            <w:r w:rsidRPr="00564B42">
              <w:rPr>
                <w:spacing w:val="-5"/>
                <w:sz w:val="24"/>
                <w:szCs w:val="24"/>
              </w:rPr>
              <w:t xml:space="preserve"> </w:t>
            </w:r>
            <w:r w:rsidRPr="00564B42">
              <w:rPr>
                <w:sz w:val="24"/>
                <w:szCs w:val="24"/>
              </w:rPr>
              <w:t>1</w:t>
            </w:r>
          </w:p>
          <w:p w14:paraId="399F852A" w14:textId="77777777" w:rsidR="005057C8" w:rsidRPr="00564B42" w:rsidRDefault="005057C8" w:rsidP="00BB20DE">
            <w:pPr>
              <w:pStyle w:val="TableParagraph"/>
              <w:spacing w:before="5"/>
              <w:ind w:left="0"/>
              <w:rPr>
                <w:b/>
                <w:sz w:val="24"/>
                <w:szCs w:val="24"/>
              </w:rPr>
            </w:pPr>
          </w:p>
          <w:p w14:paraId="37C478F2" w14:textId="77777777" w:rsidR="005057C8" w:rsidRPr="00564B42" w:rsidRDefault="005057C8" w:rsidP="00BB20DE">
            <w:pPr>
              <w:pStyle w:val="TableParagraph"/>
              <w:ind w:right="96"/>
              <w:rPr>
                <w:sz w:val="24"/>
                <w:szCs w:val="24"/>
              </w:rPr>
            </w:pPr>
            <w:r w:rsidRPr="00564B42">
              <w:rPr>
                <w:sz w:val="24"/>
                <w:szCs w:val="24"/>
              </w:rPr>
              <w:t xml:space="preserve">Subsequent dose: </w:t>
            </w:r>
            <w:r w:rsidRPr="00564B42">
              <w:rPr>
                <w:spacing w:val="-6"/>
                <w:sz w:val="24"/>
                <w:szCs w:val="24"/>
              </w:rPr>
              <w:t xml:space="preserve">400 </w:t>
            </w:r>
            <w:r w:rsidRPr="00564B42">
              <w:rPr>
                <w:sz w:val="24"/>
                <w:szCs w:val="24"/>
              </w:rPr>
              <w:t>mg</w:t>
            </w:r>
            <w:r w:rsidRPr="00564B42">
              <w:rPr>
                <w:spacing w:val="-3"/>
                <w:sz w:val="24"/>
                <w:szCs w:val="24"/>
              </w:rPr>
              <w:t xml:space="preserve"> </w:t>
            </w:r>
            <w:r w:rsidRPr="00564B42">
              <w:rPr>
                <w:sz w:val="24"/>
                <w:szCs w:val="24"/>
              </w:rPr>
              <w:t>daily</w:t>
            </w:r>
          </w:p>
        </w:tc>
        <w:tc>
          <w:tcPr>
            <w:tcW w:w="2789" w:type="dxa"/>
          </w:tcPr>
          <w:p w14:paraId="0760A9D8" w14:textId="77777777" w:rsidR="005057C8" w:rsidRPr="00564B42" w:rsidRDefault="005057C8" w:rsidP="00BB20DE">
            <w:pPr>
              <w:pStyle w:val="TableParagraph"/>
              <w:ind w:left="105" w:right="96"/>
              <w:jc w:val="both"/>
              <w:rPr>
                <w:sz w:val="24"/>
                <w:szCs w:val="24"/>
              </w:rPr>
            </w:pPr>
            <w:r w:rsidRPr="00564B42">
              <w:rPr>
                <w:sz w:val="24"/>
                <w:szCs w:val="24"/>
              </w:rPr>
              <w:t>In general, the recommended duration of therapy for candidemia is for 2 weeks after first negative blood culture result and resolution of signs and symptoms attributable</w:t>
            </w:r>
          </w:p>
          <w:p w14:paraId="2260735A" w14:textId="77777777" w:rsidR="005057C8" w:rsidRPr="00564B42" w:rsidRDefault="005057C8" w:rsidP="00BB20DE">
            <w:pPr>
              <w:pStyle w:val="TableParagraph"/>
              <w:spacing w:line="250" w:lineRule="exact"/>
              <w:ind w:left="105"/>
              <w:jc w:val="both"/>
              <w:rPr>
                <w:sz w:val="24"/>
                <w:szCs w:val="24"/>
              </w:rPr>
            </w:pPr>
            <w:r w:rsidRPr="00564B42">
              <w:rPr>
                <w:sz w:val="24"/>
                <w:szCs w:val="24"/>
              </w:rPr>
              <w:t>to candidemia.</w:t>
            </w:r>
          </w:p>
        </w:tc>
      </w:tr>
      <w:tr w:rsidR="00E20520" w:rsidRPr="00564B42" w14:paraId="3887C205" w14:textId="77777777" w:rsidTr="008131B7">
        <w:trPr>
          <w:trHeight w:val="1322"/>
        </w:trPr>
        <w:tc>
          <w:tcPr>
            <w:tcW w:w="2160" w:type="dxa"/>
            <w:vMerge w:val="restart"/>
          </w:tcPr>
          <w:p w14:paraId="56BCC021" w14:textId="7FB0DDA4" w:rsidR="005057C8" w:rsidRPr="00564B42" w:rsidRDefault="005057C8" w:rsidP="00BB20DE">
            <w:pPr>
              <w:pStyle w:val="TableParagraph"/>
              <w:tabs>
                <w:tab w:val="left" w:pos="1950"/>
              </w:tabs>
              <w:ind w:right="98"/>
              <w:rPr>
                <w:b/>
                <w:sz w:val="24"/>
                <w:szCs w:val="24"/>
              </w:rPr>
            </w:pPr>
            <w:r w:rsidRPr="00564B42">
              <w:rPr>
                <w:b/>
                <w:sz w:val="24"/>
                <w:szCs w:val="24"/>
              </w:rPr>
              <w:t xml:space="preserve">Treatment </w:t>
            </w:r>
            <w:r w:rsidRPr="00564B42">
              <w:rPr>
                <w:b/>
                <w:spacing w:val="-10"/>
                <w:sz w:val="24"/>
                <w:szCs w:val="24"/>
              </w:rPr>
              <w:t xml:space="preserve">of </w:t>
            </w:r>
            <w:r w:rsidRPr="00564B42">
              <w:rPr>
                <w:b/>
                <w:sz w:val="24"/>
                <w:szCs w:val="24"/>
              </w:rPr>
              <w:t>mucosal</w:t>
            </w:r>
            <w:r w:rsidRPr="00564B42">
              <w:rPr>
                <w:b/>
                <w:spacing w:val="-3"/>
                <w:sz w:val="24"/>
                <w:szCs w:val="24"/>
              </w:rPr>
              <w:t xml:space="preserve"> </w:t>
            </w:r>
            <w:r w:rsidRPr="00564B42">
              <w:rPr>
                <w:b/>
                <w:sz w:val="24"/>
                <w:szCs w:val="24"/>
              </w:rPr>
              <w:t>candidiasis</w:t>
            </w:r>
          </w:p>
        </w:tc>
        <w:tc>
          <w:tcPr>
            <w:tcW w:w="2700" w:type="dxa"/>
          </w:tcPr>
          <w:p w14:paraId="22239499" w14:textId="77777777" w:rsidR="005057C8" w:rsidRPr="00564B42" w:rsidRDefault="005057C8" w:rsidP="00BB20DE">
            <w:pPr>
              <w:pStyle w:val="TableParagraph"/>
              <w:ind w:left="105" w:right="1094"/>
              <w:rPr>
                <w:sz w:val="24"/>
                <w:szCs w:val="24"/>
              </w:rPr>
            </w:pPr>
            <w:r w:rsidRPr="00564B42">
              <w:rPr>
                <w:sz w:val="24"/>
                <w:szCs w:val="24"/>
              </w:rPr>
              <w:t>Oropharyngeal candidiasis</w:t>
            </w:r>
          </w:p>
        </w:tc>
        <w:tc>
          <w:tcPr>
            <w:tcW w:w="2431" w:type="dxa"/>
          </w:tcPr>
          <w:p w14:paraId="4A08668E" w14:textId="77777777" w:rsidR="005057C8" w:rsidRPr="00564B42" w:rsidRDefault="005057C8" w:rsidP="00BB20DE">
            <w:pPr>
              <w:pStyle w:val="TableParagraph"/>
              <w:ind w:right="96"/>
              <w:rPr>
                <w:sz w:val="24"/>
                <w:szCs w:val="24"/>
              </w:rPr>
            </w:pPr>
            <w:r w:rsidRPr="00564B42">
              <w:rPr>
                <w:sz w:val="24"/>
                <w:szCs w:val="24"/>
              </w:rPr>
              <w:t xml:space="preserve">Loading dose: 200 </w:t>
            </w:r>
            <w:r w:rsidRPr="00564B42">
              <w:rPr>
                <w:spacing w:val="-7"/>
                <w:sz w:val="24"/>
                <w:szCs w:val="24"/>
              </w:rPr>
              <w:t xml:space="preserve">mg </w:t>
            </w:r>
            <w:r w:rsidRPr="00564B42">
              <w:rPr>
                <w:sz w:val="24"/>
                <w:szCs w:val="24"/>
              </w:rPr>
              <w:t>to 400 mg on Day</w:t>
            </w:r>
            <w:r w:rsidRPr="00564B42">
              <w:rPr>
                <w:spacing w:val="-8"/>
                <w:sz w:val="24"/>
                <w:szCs w:val="24"/>
              </w:rPr>
              <w:t xml:space="preserve"> </w:t>
            </w:r>
            <w:r w:rsidRPr="00564B42">
              <w:rPr>
                <w:sz w:val="24"/>
                <w:szCs w:val="24"/>
              </w:rPr>
              <w:t>1</w:t>
            </w:r>
          </w:p>
          <w:p w14:paraId="3F533F89" w14:textId="77777777" w:rsidR="005057C8" w:rsidRPr="00564B42" w:rsidRDefault="005057C8" w:rsidP="00BB20DE">
            <w:pPr>
              <w:pStyle w:val="TableParagraph"/>
              <w:ind w:right="96"/>
              <w:rPr>
                <w:sz w:val="24"/>
                <w:szCs w:val="24"/>
              </w:rPr>
            </w:pPr>
            <w:r w:rsidRPr="00564B42">
              <w:rPr>
                <w:sz w:val="24"/>
                <w:szCs w:val="24"/>
              </w:rPr>
              <w:t xml:space="preserve">Subsequent dose: </w:t>
            </w:r>
            <w:r w:rsidRPr="00564B42">
              <w:rPr>
                <w:spacing w:val="-6"/>
                <w:sz w:val="24"/>
                <w:szCs w:val="24"/>
              </w:rPr>
              <w:t xml:space="preserve">100 </w:t>
            </w:r>
            <w:r w:rsidRPr="00564B42">
              <w:rPr>
                <w:sz w:val="24"/>
                <w:szCs w:val="24"/>
              </w:rPr>
              <w:t>mg to 200 mg</w:t>
            </w:r>
            <w:r w:rsidRPr="00564B42">
              <w:rPr>
                <w:spacing w:val="-6"/>
                <w:sz w:val="24"/>
                <w:szCs w:val="24"/>
              </w:rPr>
              <w:t xml:space="preserve"> </w:t>
            </w:r>
            <w:r w:rsidRPr="00564B42">
              <w:rPr>
                <w:sz w:val="24"/>
                <w:szCs w:val="24"/>
              </w:rPr>
              <w:t>daily</w:t>
            </w:r>
          </w:p>
        </w:tc>
        <w:tc>
          <w:tcPr>
            <w:tcW w:w="2789" w:type="dxa"/>
          </w:tcPr>
          <w:p w14:paraId="77B93E76" w14:textId="77777777" w:rsidR="005057C8" w:rsidRPr="00564B42" w:rsidRDefault="005057C8" w:rsidP="00BB20DE">
            <w:pPr>
              <w:pStyle w:val="TableParagraph"/>
              <w:ind w:left="105"/>
              <w:rPr>
                <w:sz w:val="24"/>
                <w:szCs w:val="24"/>
              </w:rPr>
            </w:pPr>
            <w:r w:rsidRPr="00564B42">
              <w:rPr>
                <w:sz w:val="24"/>
                <w:szCs w:val="24"/>
              </w:rPr>
              <w:t>7 to 21 days (until oropharyngeal candidiasis is in remission).</w:t>
            </w:r>
          </w:p>
          <w:p w14:paraId="07C8AC54" w14:textId="253DAAC6" w:rsidR="005057C8" w:rsidRPr="00564B42" w:rsidRDefault="005057C8" w:rsidP="00E20520">
            <w:pPr>
              <w:pStyle w:val="TableParagraph"/>
              <w:tabs>
                <w:tab w:val="left" w:pos="1523"/>
                <w:tab w:val="left" w:pos="2632"/>
              </w:tabs>
              <w:ind w:left="105" w:right="93"/>
              <w:rPr>
                <w:sz w:val="24"/>
                <w:szCs w:val="24"/>
              </w:rPr>
            </w:pPr>
            <w:r w:rsidRPr="00564B42">
              <w:rPr>
                <w:sz w:val="24"/>
                <w:szCs w:val="24"/>
              </w:rPr>
              <w:t xml:space="preserve">Longer </w:t>
            </w:r>
            <w:r w:rsidR="00E20520" w:rsidRPr="00564B42">
              <w:rPr>
                <w:sz w:val="24"/>
                <w:szCs w:val="24"/>
              </w:rPr>
              <w:t xml:space="preserve">periods may be used in patients with </w:t>
            </w:r>
            <w:r w:rsidRPr="00564B42">
              <w:rPr>
                <w:spacing w:val="-3"/>
                <w:sz w:val="24"/>
                <w:szCs w:val="24"/>
              </w:rPr>
              <w:t>severely</w:t>
            </w:r>
            <w:r w:rsidR="00E20520" w:rsidRPr="00564B42">
              <w:rPr>
                <w:sz w:val="24"/>
                <w:szCs w:val="24"/>
              </w:rPr>
              <w:t xml:space="preserve"> </w:t>
            </w:r>
            <w:r w:rsidRPr="00564B42">
              <w:rPr>
                <w:sz w:val="24"/>
                <w:szCs w:val="24"/>
              </w:rPr>
              <w:t>compromised immune function</w:t>
            </w:r>
          </w:p>
        </w:tc>
      </w:tr>
      <w:tr w:rsidR="00E20520" w:rsidRPr="00564B42" w14:paraId="1D2D6608" w14:textId="77777777" w:rsidTr="008131B7">
        <w:trPr>
          <w:trHeight w:val="1321"/>
        </w:trPr>
        <w:tc>
          <w:tcPr>
            <w:tcW w:w="2160" w:type="dxa"/>
            <w:vMerge/>
            <w:tcBorders>
              <w:top w:val="nil"/>
            </w:tcBorders>
          </w:tcPr>
          <w:p w14:paraId="4B2B19CD" w14:textId="77777777" w:rsidR="005057C8" w:rsidRPr="00564B42" w:rsidRDefault="005057C8" w:rsidP="00BB20DE">
            <w:pPr>
              <w:rPr>
                <w:rFonts w:ascii="Times New Roman" w:hAnsi="Times New Roman" w:cs="Times New Roman"/>
                <w:sz w:val="24"/>
                <w:szCs w:val="24"/>
              </w:rPr>
            </w:pPr>
          </w:p>
        </w:tc>
        <w:tc>
          <w:tcPr>
            <w:tcW w:w="2700" w:type="dxa"/>
          </w:tcPr>
          <w:p w14:paraId="4F899B19" w14:textId="77777777" w:rsidR="005057C8" w:rsidRPr="00564B42" w:rsidRDefault="005057C8" w:rsidP="00BB20DE">
            <w:pPr>
              <w:pStyle w:val="TableParagraph"/>
              <w:spacing w:line="258" w:lineRule="exact"/>
              <w:ind w:left="105"/>
              <w:rPr>
                <w:sz w:val="24"/>
                <w:szCs w:val="24"/>
              </w:rPr>
            </w:pPr>
            <w:r w:rsidRPr="00564B42">
              <w:rPr>
                <w:sz w:val="24"/>
                <w:szCs w:val="24"/>
              </w:rPr>
              <w:t>Oesophageal candidiasis</w:t>
            </w:r>
          </w:p>
        </w:tc>
        <w:tc>
          <w:tcPr>
            <w:tcW w:w="2431" w:type="dxa"/>
          </w:tcPr>
          <w:p w14:paraId="6D0FEED0" w14:textId="77777777" w:rsidR="005057C8" w:rsidRPr="00564B42" w:rsidRDefault="005057C8" w:rsidP="00BB20DE">
            <w:pPr>
              <w:pStyle w:val="TableParagraph"/>
              <w:ind w:right="96"/>
              <w:rPr>
                <w:sz w:val="24"/>
                <w:szCs w:val="24"/>
              </w:rPr>
            </w:pPr>
            <w:r w:rsidRPr="00564B42">
              <w:rPr>
                <w:sz w:val="24"/>
                <w:szCs w:val="24"/>
              </w:rPr>
              <w:t xml:space="preserve">Loading dose: 200 </w:t>
            </w:r>
            <w:r w:rsidRPr="00564B42">
              <w:rPr>
                <w:spacing w:val="-7"/>
                <w:sz w:val="24"/>
                <w:szCs w:val="24"/>
              </w:rPr>
              <w:t xml:space="preserve">mg </w:t>
            </w:r>
            <w:r w:rsidRPr="00564B42">
              <w:rPr>
                <w:sz w:val="24"/>
                <w:szCs w:val="24"/>
              </w:rPr>
              <w:t>to 400 mg on Day</w:t>
            </w:r>
            <w:r w:rsidRPr="00564B42">
              <w:rPr>
                <w:spacing w:val="-8"/>
                <w:sz w:val="24"/>
                <w:szCs w:val="24"/>
              </w:rPr>
              <w:t xml:space="preserve"> </w:t>
            </w:r>
            <w:r w:rsidRPr="00564B42">
              <w:rPr>
                <w:sz w:val="24"/>
                <w:szCs w:val="24"/>
              </w:rPr>
              <w:t>1</w:t>
            </w:r>
          </w:p>
          <w:p w14:paraId="17498E83" w14:textId="77777777" w:rsidR="005057C8" w:rsidRPr="00564B42" w:rsidRDefault="005057C8" w:rsidP="00BB20DE">
            <w:pPr>
              <w:pStyle w:val="TableParagraph"/>
              <w:ind w:right="96"/>
              <w:rPr>
                <w:sz w:val="24"/>
                <w:szCs w:val="24"/>
              </w:rPr>
            </w:pPr>
            <w:r w:rsidRPr="00564B42">
              <w:rPr>
                <w:sz w:val="24"/>
                <w:szCs w:val="24"/>
              </w:rPr>
              <w:t xml:space="preserve">Subsequent dose: </w:t>
            </w:r>
            <w:r w:rsidRPr="00564B42">
              <w:rPr>
                <w:spacing w:val="-6"/>
                <w:sz w:val="24"/>
                <w:szCs w:val="24"/>
              </w:rPr>
              <w:t xml:space="preserve">100 </w:t>
            </w:r>
            <w:r w:rsidRPr="00564B42">
              <w:rPr>
                <w:sz w:val="24"/>
                <w:szCs w:val="24"/>
              </w:rPr>
              <w:t>mg to 200 mg</w:t>
            </w:r>
            <w:r w:rsidRPr="00564B42">
              <w:rPr>
                <w:spacing w:val="-6"/>
                <w:sz w:val="24"/>
                <w:szCs w:val="24"/>
              </w:rPr>
              <w:t xml:space="preserve"> </w:t>
            </w:r>
            <w:r w:rsidRPr="00564B42">
              <w:rPr>
                <w:sz w:val="24"/>
                <w:szCs w:val="24"/>
              </w:rPr>
              <w:t>daily</w:t>
            </w:r>
          </w:p>
        </w:tc>
        <w:tc>
          <w:tcPr>
            <w:tcW w:w="2789" w:type="dxa"/>
          </w:tcPr>
          <w:p w14:paraId="7BECEF42" w14:textId="77777777" w:rsidR="005057C8" w:rsidRPr="00564B42" w:rsidRDefault="005057C8" w:rsidP="00E20520">
            <w:pPr>
              <w:pStyle w:val="TableParagraph"/>
              <w:ind w:left="105"/>
              <w:rPr>
                <w:sz w:val="24"/>
                <w:szCs w:val="24"/>
              </w:rPr>
            </w:pPr>
            <w:r w:rsidRPr="00564B42">
              <w:rPr>
                <w:sz w:val="24"/>
                <w:szCs w:val="24"/>
              </w:rPr>
              <w:t>14 to 30 days (until oesophageal candidiasis is in remission).</w:t>
            </w:r>
          </w:p>
          <w:p w14:paraId="627AD43F" w14:textId="71524E05" w:rsidR="005057C8" w:rsidRPr="00564B42" w:rsidRDefault="005057C8" w:rsidP="00E20520">
            <w:pPr>
              <w:pStyle w:val="TableParagraph"/>
              <w:spacing w:line="264" w:lineRule="exact"/>
              <w:ind w:left="105"/>
              <w:rPr>
                <w:sz w:val="24"/>
                <w:szCs w:val="24"/>
              </w:rPr>
            </w:pPr>
            <w:r w:rsidRPr="00564B42">
              <w:rPr>
                <w:sz w:val="24"/>
                <w:szCs w:val="24"/>
              </w:rPr>
              <w:t>Longer periods may be used in</w:t>
            </w:r>
            <w:r w:rsidR="00E20520" w:rsidRPr="00564B42">
              <w:rPr>
                <w:sz w:val="24"/>
                <w:szCs w:val="24"/>
              </w:rPr>
              <w:t xml:space="preserve"> patients with </w:t>
            </w:r>
            <w:r w:rsidRPr="00564B42">
              <w:rPr>
                <w:spacing w:val="-3"/>
                <w:sz w:val="24"/>
                <w:szCs w:val="24"/>
              </w:rPr>
              <w:t xml:space="preserve">severely </w:t>
            </w:r>
            <w:r w:rsidRPr="00564B42">
              <w:rPr>
                <w:sz w:val="24"/>
                <w:szCs w:val="24"/>
              </w:rPr>
              <w:t>compromised immune</w:t>
            </w:r>
            <w:r w:rsidRPr="00564B42">
              <w:rPr>
                <w:spacing w:val="-4"/>
                <w:sz w:val="24"/>
                <w:szCs w:val="24"/>
              </w:rPr>
              <w:t xml:space="preserve"> </w:t>
            </w:r>
            <w:r w:rsidRPr="00564B42">
              <w:rPr>
                <w:sz w:val="24"/>
                <w:szCs w:val="24"/>
              </w:rPr>
              <w:t>function</w:t>
            </w:r>
          </w:p>
        </w:tc>
      </w:tr>
      <w:tr w:rsidR="00E20520" w:rsidRPr="00564B42" w14:paraId="7A0E4871" w14:textId="77777777" w:rsidTr="008131B7">
        <w:trPr>
          <w:trHeight w:val="793"/>
        </w:trPr>
        <w:tc>
          <w:tcPr>
            <w:tcW w:w="2160" w:type="dxa"/>
            <w:vMerge/>
            <w:tcBorders>
              <w:top w:val="nil"/>
            </w:tcBorders>
          </w:tcPr>
          <w:p w14:paraId="71AFFF05" w14:textId="77777777" w:rsidR="005057C8" w:rsidRPr="00564B42" w:rsidRDefault="005057C8" w:rsidP="00BB20DE">
            <w:pPr>
              <w:rPr>
                <w:rFonts w:ascii="Times New Roman" w:hAnsi="Times New Roman" w:cs="Times New Roman"/>
                <w:sz w:val="24"/>
                <w:szCs w:val="24"/>
              </w:rPr>
            </w:pPr>
          </w:p>
        </w:tc>
        <w:tc>
          <w:tcPr>
            <w:tcW w:w="2700" w:type="dxa"/>
          </w:tcPr>
          <w:p w14:paraId="07D752EA" w14:textId="77777777" w:rsidR="005057C8" w:rsidRPr="00564B42" w:rsidRDefault="005057C8" w:rsidP="00BB20DE">
            <w:pPr>
              <w:pStyle w:val="TableParagraph"/>
              <w:spacing w:line="258" w:lineRule="exact"/>
              <w:ind w:left="105"/>
              <w:rPr>
                <w:sz w:val="24"/>
                <w:szCs w:val="24"/>
              </w:rPr>
            </w:pPr>
            <w:r w:rsidRPr="00564B42">
              <w:rPr>
                <w:sz w:val="24"/>
                <w:szCs w:val="24"/>
              </w:rPr>
              <w:t>Candiduria</w:t>
            </w:r>
          </w:p>
        </w:tc>
        <w:tc>
          <w:tcPr>
            <w:tcW w:w="2431" w:type="dxa"/>
          </w:tcPr>
          <w:p w14:paraId="6A94844B" w14:textId="77777777" w:rsidR="005057C8" w:rsidRPr="00564B42" w:rsidRDefault="005057C8" w:rsidP="00BB20DE">
            <w:pPr>
              <w:pStyle w:val="TableParagraph"/>
              <w:spacing w:line="258" w:lineRule="exact"/>
              <w:rPr>
                <w:sz w:val="24"/>
                <w:szCs w:val="24"/>
              </w:rPr>
            </w:pPr>
            <w:r w:rsidRPr="00564B42">
              <w:rPr>
                <w:sz w:val="24"/>
                <w:szCs w:val="24"/>
              </w:rPr>
              <w:t>200 mg to 400 mg daily</w:t>
            </w:r>
          </w:p>
        </w:tc>
        <w:tc>
          <w:tcPr>
            <w:tcW w:w="2789" w:type="dxa"/>
          </w:tcPr>
          <w:p w14:paraId="5EA40E4E" w14:textId="77777777" w:rsidR="005057C8" w:rsidRPr="00564B42" w:rsidRDefault="005057C8" w:rsidP="00BB20DE">
            <w:pPr>
              <w:pStyle w:val="TableParagraph"/>
              <w:ind w:left="105" w:right="96"/>
              <w:rPr>
                <w:sz w:val="24"/>
                <w:szCs w:val="24"/>
              </w:rPr>
            </w:pPr>
            <w:r w:rsidRPr="00564B42">
              <w:rPr>
                <w:sz w:val="24"/>
                <w:szCs w:val="24"/>
              </w:rPr>
              <w:t>7 to 21 days. Longer periods may be used in patients with</w:t>
            </w:r>
            <w:r w:rsidRPr="00564B42">
              <w:rPr>
                <w:spacing w:val="56"/>
                <w:sz w:val="24"/>
                <w:szCs w:val="24"/>
              </w:rPr>
              <w:t xml:space="preserve"> </w:t>
            </w:r>
            <w:r w:rsidRPr="00564B42">
              <w:rPr>
                <w:sz w:val="24"/>
                <w:szCs w:val="24"/>
              </w:rPr>
              <w:t>severely</w:t>
            </w:r>
          </w:p>
          <w:p w14:paraId="56C5B71A" w14:textId="77777777" w:rsidR="005057C8" w:rsidRPr="00564B42" w:rsidRDefault="005057C8" w:rsidP="00BB20DE">
            <w:pPr>
              <w:pStyle w:val="TableParagraph"/>
              <w:spacing w:line="250" w:lineRule="exact"/>
              <w:ind w:left="105"/>
              <w:rPr>
                <w:sz w:val="24"/>
                <w:szCs w:val="24"/>
              </w:rPr>
            </w:pPr>
            <w:r w:rsidRPr="00564B42">
              <w:rPr>
                <w:sz w:val="24"/>
                <w:szCs w:val="24"/>
              </w:rPr>
              <w:t>compromised immune function.</w:t>
            </w:r>
          </w:p>
        </w:tc>
      </w:tr>
      <w:tr w:rsidR="00E20520" w:rsidRPr="00564B42" w14:paraId="5BFE91B7" w14:textId="77777777" w:rsidTr="008131B7">
        <w:trPr>
          <w:trHeight w:val="527"/>
        </w:trPr>
        <w:tc>
          <w:tcPr>
            <w:tcW w:w="2160" w:type="dxa"/>
            <w:vMerge/>
            <w:tcBorders>
              <w:top w:val="nil"/>
            </w:tcBorders>
          </w:tcPr>
          <w:p w14:paraId="10FE1BC1" w14:textId="77777777" w:rsidR="005057C8" w:rsidRPr="00564B42" w:rsidRDefault="005057C8" w:rsidP="00BB20DE">
            <w:pPr>
              <w:rPr>
                <w:rFonts w:ascii="Times New Roman" w:hAnsi="Times New Roman" w:cs="Times New Roman"/>
                <w:sz w:val="24"/>
                <w:szCs w:val="24"/>
              </w:rPr>
            </w:pPr>
          </w:p>
        </w:tc>
        <w:tc>
          <w:tcPr>
            <w:tcW w:w="2700" w:type="dxa"/>
          </w:tcPr>
          <w:p w14:paraId="7F7B6299" w14:textId="77777777" w:rsidR="005057C8" w:rsidRPr="00564B42" w:rsidRDefault="005057C8" w:rsidP="00BB20DE">
            <w:pPr>
              <w:pStyle w:val="TableParagraph"/>
              <w:tabs>
                <w:tab w:val="left" w:pos="1747"/>
              </w:tabs>
              <w:spacing w:line="258" w:lineRule="exact"/>
              <w:ind w:left="105"/>
              <w:rPr>
                <w:sz w:val="24"/>
                <w:szCs w:val="24"/>
              </w:rPr>
            </w:pPr>
            <w:r w:rsidRPr="00564B42">
              <w:rPr>
                <w:sz w:val="24"/>
                <w:szCs w:val="24"/>
              </w:rPr>
              <w:t>Chronic</w:t>
            </w:r>
            <w:r w:rsidRPr="00564B42">
              <w:rPr>
                <w:sz w:val="24"/>
                <w:szCs w:val="24"/>
              </w:rPr>
              <w:tab/>
              <w:t>atrophic</w:t>
            </w:r>
          </w:p>
          <w:p w14:paraId="3B827D38" w14:textId="77777777" w:rsidR="005057C8" w:rsidRPr="00564B42" w:rsidRDefault="005057C8" w:rsidP="00BB20DE">
            <w:pPr>
              <w:pStyle w:val="TableParagraph"/>
              <w:spacing w:line="249" w:lineRule="exact"/>
              <w:ind w:left="105"/>
              <w:rPr>
                <w:sz w:val="24"/>
                <w:szCs w:val="24"/>
              </w:rPr>
            </w:pPr>
            <w:r w:rsidRPr="00564B42">
              <w:rPr>
                <w:sz w:val="24"/>
                <w:szCs w:val="24"/>
              </w:rPr>
              <w:t>candidiasis</w:t>
            </w:r>
          </w:p>
        </w:tc>
        <w:tc>
          <w:tcPr>
            <w:tcW w:w="2431" w:type="dxa"/>
          </w:tcPr>
          <w:p w14:paraId="180AAE14" w14:textId="77777777" w:rsidR="005057C8" w:rsidRPr="00564B42" w:rsidRDefault="005057C8" w:rsidP="00BB20DE">
            <w:pPr>
              <w:pStyle w:val="TableParagraph"/>
              <w:spacing w:line="258" w:lineRule="exact"/>
              <w:rPr>
                <w:sz w:val="24"/>
                <w:szCs w:val="24"/>
              </w:rPr>
            </w:pPr>
            <w:r w:rsidRPr="00564B42">
              <w:rPr>
                <w:sz w:val="24"/>
                <w:szCs w:val="24"/>
              </w:rPr>
              <w:t>50 mg daily</w:t>
            </w:r>
          </w:p>
        </w:tc>
        <w:tc>
          <w:tcPr>
            <w:tcW w:w="2789" w:type="dxa"/>
          </w:tcPr>
          <w:p w14:paraId="6CC4FBD8" w14:textId="77777777" w:rsidR="005057C8" w:rsidRPr="00564B42" w:rsidRDefault="005057C8" w:rsidP="00BB20DE">
            <w:pPr>
              <w:pStyle w:val="TableParagraph"/>
              <w:spacing w:line="258" w:lineRule="exact"/>
              <w:ind w:left="105"/>
              <w:rPr>
                <w:sz w:val="24"/>
                <w:szCs w:val="24"/>
              </w:rPr>
            </w:pPr>
            <w:r w:rsidRPr="00564B42">
              <w:rPr>
                <w:sz w:val="24"/>
                <w:szCs w:val="24"/>
              </w:rPr>
              <w:t>14 days</w:t>
            </w:r>
          </w:p>
        </w:tc>
      </w:tr>
      <w:tr w:rsidR="00E20520" w:rsidRPr="00564B42" w14:paraId="63F32907" w14:textId="77777777" w:rsidTr="008131B7">
        <w:trPr>
          <w:trHeight w:val="1057"/>
        </w:trPr>
        <w:tc>
          <w:tcPr>
            <w:tcW w:w="2160" w:type="dxa"/>
            <w:vMerge/>
            <w:tcBorders>
              <w:top w:val="nil"/>
            </w:tcBorders>
          </w:tcPr>
          <w:p w14:paraId="50290A3F" w14:textId="77777777" w:rsidR="005057C8" w:rsidRPr="00564B42" w:rsidRDefault="005057C8" w:rsidP="00BB20DE">
            <w:pPr>
              <w:rPr>
                <w:rFonts w:ascii="Times New Roman" w:hAnsi="Times New Roman" w:cs="Times New Roman"/>
                <w:sz w:val="24"/>
                <w:szCs w:val="24"/>
              </w:rPr>
            </w:pPr>
          </w:p>
        </w:tc>
        <w:tc>
          <w:tcPr>
            <w:tcW w:w="2700" w:type="dxa"/>
          </w:tcPr>
          <w:p w14:paraId="517AFAE3" w14:textId="77777777" w:rsidR="005057C8" w:rsidRPr="00564B42" w:rsidRDefault="005057C8" w:rsidP="00BB20DE">
            <w:pPr>
              <w:pStyle w:val="TableParagraph"/>
              <w:tabs>
                <w:tab w:val="left" w:pos="1070"/>
              </w:tabs>
              <w:ind w:left="105" w:right="95"/>
              <w:rPr>
                <w:sz w:val="24"/>
                <w:szCs w:val="24"/>
              </w:rPr>
            </w:pPr>
            <w:r w:rsidRPr="00564B42">
              <w:rPr>
                <w:sz w:val="24"/>
                <w:szCs w:val="24"/>
              </w:rPr>
              <w:t>Chronic</w:t>
            </w:r>
            <w:r w:rsidRPr="00564B42">
              <w:rPr>
                <w:sz w:val="24"/>
                <w:szCs w:val="24"/>
              </w:rPr>
              <w:tab/>
            </w:r>
            <w:r w:rsidRPr="00564B42">
              <w:rPr>
                <w:spacing w:val="-1"/>
                <w:sz w:val="24"/>
                <w:szCs w:val="24"/>
              </w:rPr>
              <w:t xml:space="preserve">mucocutaneous </w:t>
            </w:r>
            <w:r w:rsidRPr="00564B42">
              <w:rPr>
                <w:sz w:val="24"/>
                <w:szCs w:val="24"/>
              </w:rPr>
              <w:t>candidiasis</w:t>
            </w:r>
          </w:p>
        </w:tc>
        <w:tc>
          <w:tcPr>
            <w:tcW w:w="2431" w:type="dxa"/>
          </w:tcPr>
          <w:p w14:paraId="75F7B4CC" w14:textId="77777777" w:rsidR="005057C8" w:rsidRPr="00564B42" w:rsidRDefault="005057C8" w:rsidP="00BB20DE">
            <w:pPr>
              <w:pStyle w:val="TableParagraph"/>
              <w:spacing w:line="261" w:lineRule="exact"/>
              <w:rPr>
                <w:sz w:val="24"/>
                <w:szCs w:val="24"/>
              </w:rPr>
            </w:pPr>
            <w:r w:rsidRPr="00564B42">
              <w:rPr>
                <w:sz w:val="24"/>
                <w:szCs w:val="24"/>
              </w:rPr>
              <w:t>50 mg to 100 mg daily</w:t>
            </w:r>
          </w:p>
        </w:tc>
        <w:tc>
          <w:tcPr>
            <w:tcW w:w="2789" w:type="dxa"/>
          </w:tcPr>
          <w:p w14:paraId="3ADFEA40" w14:textId="77777777" w:rsidR="005057C8" w:rsidRPr="00564B42" w:rsidRDefault="005057C8" w:rsidP="00BB20DE">
            <w:pPr>
              <w:pStyle w:val="TableParagraph"/>
              <w:ind w:left="105" w:right="95"/>
              <w:jc w:val="both"/>
              <w:rPr>
                <w:sz w:val="24"/>
                <w:szCs w:val="24"/>
              </w:rPr>
            </w:pPr>
            <w:r w:rsidRPr="00564B42">
              <w:rPr>
                <w:sz w:val="24"/>
                <w:szCs w:val="24"/>
              </w:rPr>
              <w:t>Up to 28 days. Longer periods depending on both the severity of infection or underlying immune</w:t>
            </w:r>
          </w:p>
          <w:p w14:paraId="3B2A61B5" w14:textId="509589DD" w:rsidR="005057C8" w:rsidRPr="00564B42" w:rsidRDefault="005057C8" w:rsidP="00BB20DE">
            <w:pPr>
              <w:pStyle w:val="TableParagraph"/>
              <w:spacing w:line="248" w:lineRule="exact"/>
              <w:ind w:left="105"/>
              <w:jc w:val="both"/>
              <w:rPr>
                <w:sz w:val="24"/>
                <w:szCs w:val="24"/>
              </w:rPr>
            </w:pPr>
            <w:r w:rsidRPr="00564B42">
              <w:rPr>
                <w:sz w:val="24"/>
                <w:szCs w:val="24"/>
              </w:rPr>
              <w:t>Compromisation and infection</w:t>
            </w:r>
          </w:p>
        </w:tc>
      </w:tr>
      <w:tr w:rsidR="005057C8" w:rsidRPr="00564B42" w14:paraId="212B7B0B" w14:textId="77777777" w:rsidTr="008131B7">
        <w:trPr>
          <w:trHeight w:val="794"/>
        </w:trPr>
        <w:tc>
          <w:tcPr>
            <w:tcW w:w="2160" w:type="dxa"/>
            <w:vMerge w:val="restart"/>
          </w:tcPr>
          <w:p w14:paraId="1AB7C403" w14:textId="33471D00" w:rsidR="005057C8" w:rsidRPr="00564B42" w:rsidRDefault="005057C8" w:rsidP="005057C8">
            <w:pPr>
              <w:pStyle w:val="TableParagraph"/>
              <w:tabs>
                <w:tab w:val="left" w:pos="1950"/>
              </w:tabs>
              <w:ind w:right="95"/>
              <w:jc w:val="both"/>
              <w:rPr>
                <w:b/>
                <w:sz w:val="24"/>
                <w:szCs w:val="24"/>
              </w:rPr>
            </w:pPr>
            <w:r w:rsidRPr="00564B42">
              <w:rPr>
                <w:b/>
                <w:sz w:val="24"/>
                <w:szCs w:val="24"/>
              </w:rPr>
              <w:t xml:space="preserve">Prevention </w:t>
            </w:r>
            <w:r w:rsidRPr="00564B42">
              <w:rPr>
                <w:b/>
                <w:spacing w:val="-9"/>
                <w:sz w:val="24"/>
                <w:szCs w:val="24"/>
              </w:rPr>
              <w:t xml:space="preserve">of </w:t>
            </w:r>
            <w:r w:rsidRPr="00564B42">
              <w:rPr>
                <w:b/>
                <w:sz w:val="24"/>
                <w:szCs w:val="24"/>
              </w:rPr>
              <w:t xml:space="preserve">relapse of mucosal candidiasis </w:t>
            </w:r>
            <w:r w:rsidRPr="00564B42">
              <w:rPr>
                <w:b/>
                <w:spacing w:val="-9"/>
                <w:sz w:val="24"/>
                <w:szCs w:val="24"/>
              </w:rPr>
              <w:t>in</w:t>
            </w:r>
            <w:r w:rsidRPr="00564B42">
              <w:rPr>
                <w:b/>
                <w:sz w:val="24"/>
                <w:szCs w:val="24"/>
              </w:rPr>
              <w:t xml:space="preserve"> </w:t>
            </w:r>
            <w:r w:rsidRPr="00564B42">
              <w:rPr>
                <w:b/>
                <w:sz w:val="24"/>
                <w:szCs w:val="24"/>
              </w:rPr>
              <w:lastRenderedPageBreak/>
              <w:t xml:space="preserve">patients </w:t>
            </w:r>
            <w:r w:rsidRPr="00564B42">
              <w:rPr>
                <w:b/>
                <w:spacing w:val="-3"/>
                <w:sz w:val="24"/>
                <w:szCs w:val="24"/>
              </w:rPr>
              <w:t xml:space="preserve">infected </w:t>
            </w:r>
            <w:r w:rsidRPr="00564B42">
              <w:rPr>
                <w:b/>
                <w:sz w:val="24"/>
                <w:szCs w:val="24"/>
              </w:rPr>
              <w:t>with HIV who are</w:t>
            </w:r>
            <w:r w:rsidRPr="00564B42">
              <w:rPr>
                <w:b/>
                <w:spacing w:val="8"/>
                <w:sz w:val="24"/>
                <w:szCs w:val="24"/>
              </w:rPr>
              <w:t xml:space="preserve"> </w:t>
            </w:r>
            <w:r w:rsidRPr="00564B42">
              <w:rPr>
                <w:b/>
                <w:sz w:val="24"/>
                <w:szCs w:val="24"/>
              </w:rPr>
              <w:t>at high risk of experiencing relapse</w:t>
            </w:r>
          </w:p>
        </w:tc>
        <w:tc>
          <w:tcPr>
            <w:tcW w:w="2700" w:type="dxa"/>
          </w:tcPr>
          <w:p w14:paraId="16E757E0" w14:textId="77777777" w:rsidR="005057C8" w:rsidRPr="00564B42" w:rsidRDefault="005057C8" w:rsidP="00BB20DE">
            <w:pPr>
              <w:pStyle w:val="TableParagraph"/>
              <w:spacing w:line="242" w:lineRule="auto"/>
              <w:ind w:left="105" w:right="1094"/>
              <w:rPr>
                <w:sz w:val="24"/>
                <w:szCs w:val="24"/>
              </w:rPr>
            </w:pPr>
            <w:r w:rsidRPr="00564B42">
              <w:rPr>
                <w:sz w:val="24"/>
                <w:szCs w:val="24"/>
              </w:rPr>
              <w:lastRenderedPageBreak/>
              <w:t>Oropharyngeal candidiasis</w:t>
            </w:r>
          </w:p>
        </w:tc>
        <w:tc>
          <w:tcPr>
            <w:tcW w:w="2431" w:type="dxa"/>
          </w:tcPr>
          <w:p w14:paraId="4422DA02" w14:textId="77777777" w:rsidR="005057C8" w:rsidRPr="00564B42" w:rsidRDefault="005057C8" w:rsidP="00BB20DE">
            <w:pPr>
              <w:pStyle w:val="TableParagraph"/>
              <w:spacing w:line="258" w:lineRule="exact"/>
              <w:rPr>
                <w:sz w:val="24"/>
                <w:szCs w:val="24"/>
              </w:rPr>
            </w:pPr>
            <w:r w:rsidRPr="00564B42">
              <w:rPr>
                <w:sz w:val="24"/>
                <w:szCs w:val="24"/>
              </w:rPr>
              <w:t>100 mg to 200 mg daily</w:t>
            </w:r>
          </w:p>
          <w:p w14:paraId="081249F5" w14:textId="77777777" w:rsidR="005057C8" w:rsidRPr="00564B42" w:rsidRDefault="005057C8" w:rsidP="00BB20DE">
            <w:pPr>
              <w:pStyle w:val="TableParagraph"/>
              <w:spacing w:before="5" w:line="264" w:lineRule="exact"/>
              <w:rPr>
                <w:sz w:val="24"/>
                <w:szCs w:val="24"/>
              </w:rPr>
            </w:pPr>
            <w:r w:rsidRPr="00564B42">
              <w:rPr>
                <w:sz w:val="24"/>
                <w:szCs w:val="24"/>
              </w:rPr>
              <w:t>or 200 mg 3 times per week</w:t>
            </w:r>
          </w:p>
        </w:tc>
        <w:tc>
          <w:tcPr>
            <w:tcW w:w="2789" w:type="dxa"/>
          </w:tcPr>
          <w:p w14:paraId="40ABFD91" w14:textId="77777777" w:rsidR="005057C8" w:rsidRPr="00564B42" w:rsidRDefault="005057C8" w:rsidP="00BB20DE">
            <w:pPr>
              <w:pStyle w:val="TableParagraph"/>
              <w:spacing w:line="242" w:lineRule="auto"/>
              <w:ind w:left="105" w:right="96"/>
              <w:rPr>
                <w:sz w:val="24"/>
                <w:szCs w:val="24"/>
              </w:rPr>
            </w:pPr>
            <w:r w:rsidRPr="00564B42">
              <w:rPr>
                <w:sz w:val="24"/>
                <w:szCs w:val="24"/>
              </w:rPr>
              <w:t>An indefinite period for patients with chronic immune suppression</w:t>
            </w:r>
          </w:p>
        </w:tc>
      </w:tr>
      <w:tr w:rsidR="005057C8" w:rsidRPr="00564B42" w14:paraId="3A843AFA" w14:textId="77777777" w:rsidTr="008131B7">
        <w:trPr>
          <w:trHeight w:val="530"/>
        </w:trPr>
        <w:tc>
          <w:tcPr>
            <w:tcW w:w="2160" w:type="dxa"/>
            <w:vMerge/>
            <w:tcBorders>
              <w:top w:val="nil"/>
            </w:tcBorders>
          </w:tcPr>
          <w:p w14:paraId="1C1C26E5" w14:textId="77777777" w:rsidR="005057C8" w:rsidRPr="00564B42" w:rsidRDefault="005057C8" w:rsidP="00BB20DE">
            <w:pPr>
              <w:rPr>
                <w:rFonts w:ascii="Times New Roman" w:hAnsi="Times New Roman" w:cs="Times New Roman"/>
                <w:sz w:val="24"/>
                <w:szCs w:val="24"/>
              </w:rPr>
            </w:pPr>
          </w:p>
        </w:tc>
        <w:tc>
          <w:tcPr>
            <w:tcW w:w="2700" w:type="dxa"/>
          </w:tcPr>
          <w:p w14:paraId="7F0CE71E" w14:textId="77777777" w:rsidR="005057C8" w:rsidRPr="00564B42" w:rsidRDefault="005057C8" w:rsidP="00BB20DE">
            <w:pPr>
              <w:pStyle w:val="TableParagraph"/>
              <w:spacing w:line="258" w:lineRule="exact"/>
              <w:ind w:left="105"/>
              <w:rPr>
                <w:sz w:val="24"/>
                <w:szCs w:val="24"/>
              </w:rPr>
            </w:pPr>
            <w:r w:rsidRPr="00564B42">
              <w:rPr>
                <w:sz w:val="24"/>
                <w:szCs w:val="24"/>
              </w:rPr>
              <w:t>Oesophageal candidiasis</w:t>
            </w:r>
          </w:p>
        </w:tc>
        <w:tc>
          <w:tcPr>
            <w:tcW w:w="2431" w:type="dxa"/>
          </w:tcPr>
          <w:p w14:paraId="2D0B787D" w14:textId="77777777" w:rsidR="005057C8" w:rsidRPr="00564B42" w:rsidRDefault="005057C8" w:rsidP="00BB20DE">
            <w:pPr>
              <w:pStyle w:val="TableParagraph"/>
              <w:spacing w:line="258" w:lineRule="exact"/>
              <w:rPr>
                <w:sz w:val="24"/>
                <w:szCs w:val="24"/>
              </w:rPr>
            </w:pPr>
            <w:r w:rsidRPr="00564B42">
              <w:rPr>
                <w:sz w:val="24"/>
                <w:szCs w:val="24"/>
              </w:rPr>
              <w:t>100 mg to 200 mg</w:t>
            </w:r>
            <w:r w:rsidRPr="00564B42">
              <w:rPr>
                <w:spacing w:val="7"/>
                <w:sz w:val="24"/>
                <w:szCs w:val="24"/>
              </w:rPr>
              <w:t xml:space="preserve"> </w:t>
            </w:r>
            <w:r w:rsidRPr="00564B42">
              <w:rPr>
                <w:sz w:val="24"/>
                <w:szCs w:val="24"/>
              </w:rPr>
              <w:t>daily</w:t>
            </w:r>
          </w:p>
          <w:p w14:paraId="2C1A205D" w14:textId="4A304DB5" w:rsidR="005057C8" w:rsidRPr="00564B42" w:rsidRDefault="005057C8" w:rsidP="00BB20DE">
            <w:pPr>
              <w:pStyle w:val="TableParagraph"/>
              <w:spacing w:line="252" w:lineRule="exact"/>
              <w:rPr>
                <w:sz w:val="24"/>
                <w:szCs w:val="24"/>
              </w:rPr>
            </w:pPr>
            <w:r w:rsidRPr="00564B42">
              <w:rPr>
                <w:sz w:val="24"/>
                <w:szCs w:val="24"/>
              </w:rPr>
              <w:t xml:space="preserve">or  200  mg 3 times </w:t>
            </w:r>
            <w:r w:rsidRPr="00564B42">
              <w:rPr>
                <w:spacing w:val="11"/>
                <w:sz w:val="24"/>
                <w:szCs w:val="24"/>
              </w:rPr>
              <w:t xml:space="preserve"> </w:t>
            </w:r>
            <w:r w:rsidRPr="00564B42">
              <w:rPr>
                <w:sz w:val="24"/>
                <w:szCs w:val="24"/>
              </w:rPr>
              <w:t>per week</w:t>
            </w:r>
          </w:p>
        </w:tc>
        <w:tc>
          <w:tcPr>
            <w:tcW w:w="2789" w:type="dxa"/>
          </w:tcPr>
          <w:p w14:paraId="0158582C" w14:textId="77777777" w:rsidR="005057C8" w:rsidRPr="00564B42" w:rsidRDefault="005057C8" w:rsidP="00BB20DE">
            <w:pPr>
              <w:pStyle w:val="TableParagraph"/>
              <w:spacing w:line="258" w:lineRule="exact"/>
              <w:ind w:left="105"/>
              <w:rPr>
                <w:sz w:val="24"/>
                <w:szCs w:val="24"/>
              </w:rPr>
            </w:pPr>
            <w:r w:rsidRPr="00564B42">
              <w:rPr>
                <w:sz w:val="24"/>
                <w:szCs w:val="24"/>
              </w:rPr>
              <w:t>An indefinite period for patients</w:t>
            </w:r>
          </w:p>
          <w:p w14:paraId="353B2EEE" w14:textId="77777777" w:rsidR="005057C8" w:rsidRPr="00564B42" w:rsidRDefault="005057C8" w:rsidP="00BB20DE">
            <w:pPr>
              <w:pStyle w:val="TableParagraph"/>
              <w:spacing w:line="252" w:lineRule="exact"/>
              <w:ind w:left="105"/>
              <w:rPr>
                <w:sz w:val="24"/>
                <w:szCs w:val="24"/>
              </w:rPr>
            </w:pPr>
            <w:r w:rsidRPr="00564B42">
              <w:rPr>
                <w:sz w:val="24"/>
                <w:szCs w:val="24"/>
              </w:rPr>
              <w:t>with chronic immune suppression</w:t>
            </w:r>
          </w:p>
        </w:tc>
      </w:tr>
      <w:tr w:rsidR="0087071C" w:rsidRPr="00564B42" w14:paraId="5D5C20E2" w14:textId="77777777" w:rsidTr="008131B7">
        <w:trPr>
          <w:trHeight w:val="530"/>
        </w:trPr>
        <w:tc>
          <w:tcPr>
            <w:tcW w:w="2160" w:type="dxa"/>
            <w:vMerge w:val="restart"/>
            <w:tcBorders>
              <w:top w:val="nil"/>
            </w:tcBorders>
          </w:tcPr>
          <w:p w14:paraId="02182425" w14:textId="1670FA8B" w:rsidR="0087071C" w:rsidRPr="00564B42" w:rsidRDefault="0087071C" w:rsidP="00FC306C">
            <w:pPr>
              <w:rPr>
                <w:rFonts w:ascii="Times New Roman" w:hAnsi="Times New Roman" w:cs="Times New Roman"/>
                <w:sz w:val="24"/>
                <w:szCs w:val="24"/>
              </w:rPr>
            </w:pPr>
            <w:r w:rsidRPr="00564B42">
              <w:rPr>
                <w:rFonts w:ascii="Times New Roman" w:hAnsi="Times New Roman" w:cs="Times New Roman"/>
                <w:b/>
                <w:sz w:val="24"/>
                <w:szCs w:val="24"/>
              </w:rPr>
              <w:t>Genital candidiasis</w:t>
            </w:r>
          </w:p>
        </w:tc>
        <w:tc>
          <w:tcPr>
            <w:tcW w:w="2700" w:type="dxa"/>
          </w:tcPr>
          <w:p w14:paraId="1B693256" w14:textId="77777777" w:rsidR="0087071C" w:rsidRPr="00564B42" w:rsidRDefault="0087071C" w:rsidP="00FC306C">
            <w:pPr>
              <w:pStyle w:val="TableParagraph"/>
              <w:spacing w:line="258" w:lineRule="exact"/>
              <w:ind w:left="105"/>
              <w:rPr>
                <w:sz w:val="24"/>
                <w:szCs w:val="24"/>
              </w:rPr>
            </w:pPr>
            <w:r w:rsidRPr="00564B42">
              <w:rPr>
                <w:sz w:val="24"/>
                <w:szCs w:val="24"/>
              </w:rPr>
              <w:t>Acute vaginal</w:t>
            </w:r>
          </w:p>
          <w:p w14:paraId="732F6113" w14:textId="2DBCC165" w:rsidR="0087071C" w:rsidRPr="00564B42" w:rsidRDefault="0087071C" w:rsidP="00FC306C">
            <w:pPr>
              <w:pStyle w:val="TableParagraph"/>
              <w:spacing w:line="258" w:lineRule="exact"/>
              <w:ind w:left="105"/>
              <w:rPr>
                <w:sz w:val="24"/>
                <w:szCs w:val="24"/>
              </w:rPr>
            </w:pPr>
            <w:r w:rsidRPr="00564B42">
              <w:rPr>
                <w:sz w:val="24"/>
                <w:szCs w:val="24"/>
              </w:rPr>
              <w:t>candidiasis, Candidal balanitis</w:t>
            </w:r>
          </w:p>
        </w:tc>
        <w:tc>
          <w:tcPr>
            <w:tcW w:w="2431" w:type="dxa"/>
          </w:tcPr>
          <w:p w14:paraId="7BAC1A99" w14:textId="2E74CF39" w:rsidR="0087071C" w:rsidRPr="00564B42" w:rsidRDefault="0087071C" w:rsidP="00FC306C">
            <w:pPr>
              <w:pStyle w:val="TableParagraph"/>
              <w:spacing w:line="258" w:lineRule="exact"/>
              <w:rPr>
                <w:sz w:val="24"/>
                <w:szCs w:val="24"/>
              </w:rPr>
            </w:pPr>
            <w:r w:rsidRPr="00564B42">
              <w:rPr>
                <w:sz w:val="24"/>
                <w:szCs w:val="24"/>
              </w:rPr>
              <w:t>150 mg</w:t>
            </w:r>
          </w:p>
        </w:tc>
        <w:tc>
          <w:tcPr>
            <w:tcW w:w="2789" w:type="dxa"/>
          </w:tcPr>
          <w:p w14:paraId="14856ABA" w14:textId="523E94A0" w:rsidR="0087071C" w:rsidRPr="00564B42" w:rsidRDefault="0087071C" w:rsidP="00FC306C">
            <w:pPr>
              <w:pStyle w:val="TableParagraph"/>
              <w:spacing w:line="258" w:lineRule="exact"/>
              <w:ind w:left="105"/>
              <w:rPr>
                <w:sz w:val="24"/>
                <w:szCs w:val="24"/>
              </w:rPr>
            </w:pPr>
            <w:r w:rsidRPr="00564B42">
              <w:rPr>
                <w:sz w:val="24"/>
                <w:szCs w:val="24"/>
              </w:rPr>
              <w:t>Single dose</w:t>
            </w:r>
          </w:p>
        </w:tc>
      </w:tr>
      <w:tr w:rsidR="0087071C" w:rsidRPr="00564B42" w14:paraId="3FFA4C3A" w14:textId="77777777" w:rsidTr="008131B7">
        <w:trPr>
          <w:trHeight w:val="530"/>
        </w:trPr>
        <w:tc>
          <w:tcPr>
            <w:tcW w:w="2160" w:type="dxa"/>
            <w:vMerge/>
            <w:tcBorders>
              <w:bottom w:val="single" w:sz="4" w:space="0" w:color="auto"/>
            </w:tcBorders>
          </w:tcPr>
          <w:p w14:paraId="7DBE66DC" w14:textId="77777777" w:rsidR="0087071C" w:rsidRPr="00564B42" w:rsidRDefault="0087071C" w:rsidP="00FC306C">
            <w:pPr>
              <w:rPr>
                <w:rFonts w:ascii="Times New Roman" w:hAnsi="Times New Roman" w:cs="Times New Roman"/>
                <w:sz w:val="24"/>
                <w:szCs w:val="24"/>
              </w:rPr>
            </w:pPr>
          </w:p>
        </w:tc>
        <w:tc>
          <w:tcPr>
            <w:tcW w:w="2700" w:type="dxa"/>
          </w:tcPr>
          <w:p w14:paraId="0C7D0920" w14:textId="3D54035A" w:rsidR="0087071C" w:rsidRPr="00564B42" w:rsidRDefault="0087071C" w:rsidP="00FC306C">
            <w:pPr>
              <w:pStyle w:val="TableParagraph"/>
              <w:spacing w:line="258" w:lineRule="exact"/>
              <w:ind w:left="105"/>
              <w:rPr>
                <w:sz w:val="24"/>
                <w:szCs w:val="24"/>
              </w:rPr>
            </w:pPr>
            <w:r w:rsidRPr="00564B42">
              <w:rPr>
                <w:sz w:val="24"/>
                <w:szCs w:val="24"/>
              </w:rPr>
              <w:t>- Treatment and prophylaxis of recurrent vaginal candidiasis (4 or more episodes a year).</w:t>
            </w:r>
          </w:p>
        </w:tc>
        <w:tc>
          <w:tcPr>
            <w:tcW w:w="2431" w:type="dxa"/>
          </w:tcPr>
          <w:p w14:paraId="45D88C93" w14:textId="04B0558D" w:rsidR="0087071C" w:rsidRPr="00564B42" w:rsidRDefault="0087071C" w:rsidP="00FC306C">
            <w:pPr>
              <w:pStyle w:val="TableParagraph"/>
              <w:tabs>
                <w:tab w:val="left" w:pos="1660"/>
              </w:tabs>
              <w:ind w:right="93"/>
              <w:jc w:val="both"/>
              <w:rPr>
                <w:sz w:val="24"/>
                <w:szCs w:val="24"/>
              </w:rPr>
            </w:pPr>
            <w:r w:rsidRPr="00564B42">
              <w:rPr>
                <w:sz w:val="24"/>
                <w:szCs w:val="24"/>
              </w:rPr>
              <w:t xml:space="preserve">150 mg every third day for a total of 3 doses (day 1, 4, and </w:t>
            </w:r>
            <w:r w:rsidRPr="00564B42">
              <w:rPr>
                <w:spacing w:val="-8"/>
                <w:sz w:val="24"/>
                <w:szCs w:val="24"/>
              </w:rPr>
              <w:t xml:space="preserve">7) </w:t>
            </w:r>
            <w:r w:rsidR="00E20520" w:rsidRPr="00564B42">
              <w:rPr>
                <w:sz w:val="24"/>
                <w:szCs w:val="24"/>
              </w:rPr>
              <w:t xml:space="preserve">followed by 150 mg once </w:t>
            </w:r>
            <w:r w:rsidRPr="00564B42">
              <w:rPr>
                <w:spacing w:val="-4"/>
                <w:sz w:val="24"/>
                <w:szCs w:val="24"/>
              </w:rPr>
              <w:t>weekly</w:t>
            </w:r>
          </w:p>
          <w:p w14:paraId="33D3C633" w14:textId="1F95C410" w:rsidR="0087071C" w:rsidRPr="00564B42" w:rsidRDefault="0087071C" w:rsidP="00FC306C">
            <w:pPr>
              <w:pStyle w:val="TableParagraph"/>
              <w:spacing w:line="258" w:lineRule="exact"/>
              <w:rPr>
                <w:sz w:val="24"/>
                <w:szCs w:val="24"/>
              </w:rPr>
            </w:pPr>
            <w:r w:rsidRPr="00564B42">
              <w:rPr>
                <w:sz w:val="24"/>
                <w:szCs w:val="24"/>
              </w:rPr>
              <w:t>maintenance dose</w:t>
            </w:r>
          </w:p>
        </w:tc>
        <w:tc>
          <w:tcPr>
            <w:tcW w:w="2789" w:type="dxa"/>
          </w:tcPr>
          <w:p w14:paraId="5E67677F" w14:textId="4F8F596D" w:rsidR="0087071C" w:rsidRPr="00564B42" w:rsidRDefault="0087071C" w:rsidP="00FC306C">
            <w:pPr>
              <w:pStyle w:val="TableParagraph"/>
              <w:spacing w:line="258" w:lineRule="exact"/>
              <w:ind w:left="105"/>
              <w:rPr>
                <w:sz w:val="24"/>
                <w:szCs w:val="24"/>
              </w:rPr>
            </w:pPr>
            <w:r w:rsidRPr="00564B42">
              <w:rPr>
                <w:sz w:val="24"/>
                <w:szCs w:val="24"/>
              </w:rPr>
              <w:t>Maintenance dose: 6 months.</w:t>
            </w:r>
          </w:p>
        </w:tc>
      </w:tr>
      <w:tr w:rsidR="00E20520" w:rsidRPr="00564B42" w14:paraId="3D4594B0" w14:textId="77777777" w:rsidTr="008131B7">
        <w:trPr>
          <w:trHeight w:val="530"/>
        </w:trPr>
        <w:tc>
          <w:tcPr>
            <w:tcW w:w="2160" w:type="dxa"/>
            <w:vMerge w:val="restart"/>
            <w:tcBorders>
              <w:top w:val="single" w:sz="4" w:space="0" w:color="auto"/>
            </w:tcBorders>
          </w:tcPr>
          <w:p w14:paraId="459B582D" w14:textId="7026C3A7" w:rsidR="00E20520" w:rsidRPr="00564B42" w:rsidRDefault="00E20520" w:rsidP="00E20520">
            <w:pPr>
              <w:tabs>
                <w:tab w:val="center" w:pos="1030"/>
              </w:tabs>
              <w:rPr>
                <w:rFonts w:ascii="Times New Roman" w:hAnsi="Times New Roman" w:cs="Times New Roman"/>
                <w:sz w:val="24"/>
                <w:szCs w:val="24"/>
              </w:rPr>
            </w:pPr>
            <w:r w:rsidRPr="00564B42">
              <w:rPr>
                <w:rFonts w:ascii="Times New Roman" w:hAnsi="Times New Roman" w:cs="Times New Roman"/>
                <w:b/>
                <w:sz w:val="24"/>
                <w:szCs w:val="24"/>
              </w:rPr>
              <w:t>Dermatomycosis</w:t>
            </w:r>
            <w:r w:rsidRPr="00564B42">
              <w:rPr>
                <w:rFonts w:ascii="Times New Roman" w:hAnsi="Times New Roman" w:cs="Times New Roman"/>
                <w:sz w:val="24"/>
                <w:szCs w:val="24"/>
              </w:rPr>
              <w:tab/>
            </w:r>
          </w:p>
        </w:tc>
        <w:tc>
          <w:tcPr>
            <w:tcW w:w="2700" w:type="dxa"/>
          </w:tcPr>
          <w:p w14:paraId="23C543C0" w14:textId="77777777" w:rsidR="00E20520" w:rsidRPr="00564B42" w:rsidRDefault="00E20520" w:rsidP="00F87282">
            <w:pPr>
              <w:pStyle w:val="TableParagraph"/>
              <w:numPr>
                <w:ilvl w:val="0"/>
                <w:numId w:val="5"/>
              </w:numPr>
              <w:tabs>
                <w:tab w:val="left" w:pos="240"/>
              </w:tabs>
              <w:spacing w:line="258" w:lineRule="exact"/>
              <w:rPr>
                <w:i/>
                <w:sz w:val="24"/>
                <w:szCs w:val="24"/>
              </w:rPr>
            </w:pPr>
            <w:r w:rsidRPr="00564B42">
              <w:rPr>
                <w:i/>
                <w:sz w:val="24"/>
                <w:szCs w:val="24"/>
              </w:rPr>
              <w:t>tinea</w:t>
            </w:r>
            <w:r w:rsidRPr="00564B42">
              <w:rPr>
                <w:i/>
                <w:spacing w:val="-4"/>
                <w:sz w:val="24"/>
                <w:szCs w:val="24"/>
              </w:rPr>
              <w:t xml:space="preserve"> </w:t>
            </w:r>
            <w:r w:rsidRPr="00564B42">
              <w:rPr>
                <w:i/>
                <w:sz w:val="24"/>
                <w:szCs w:val="24"/>
              </w:rPr>
              <w:t>pedis,</w:t>
            </w:r>
          </w:p>
          <w:p w14:paraId="61C4DE9C" w14:textId="77777777" w:rsidR="00E20520" w:rsidRPr="00564B42" w:rsidRDefault="00E20520" w:rsidP="00F87282">
            <w:pPr>
              <w:pStyle w:val="TableParagraph"/>
              <w:numPr>
                <w:ilvl w:val="0"/>
                <w:numId w:val="5"/>
              </w:numPr>
              <w:tabs>
                <w:tab w:val="left" w:pos="240"/>
              </w:tabs>
              <w:spacing w:line="264" w:lineRule="exact"/>
              <w:ind w:left="239"/>
              <w:rPr>
                <w:i/>
                <w:sz w:val="24"/>
                <w:szCs w:val="24"/>
              </w:rPr>
            </w:pPr>
            <w:r w:rsidRPr="00564B42">
              <w:rPr>
                <w:i/>
                <w:sz w:val="24"/>
                <w:szCs w:val="24"/>
              </w:rPr>
              <w:t>tinea</w:t>
            </w:r>
            <w:r w:rsidRPr="00564B42">
              <w:rPr>
                <w:i/>
                <w:spacing w:val="-4"/>
                <w:sz w:val="24"/>
                <w:szCs w:val="24"/>
              </w:rPr>
              <w:t xml:space="preserve"> </w:t>
            </w:r>
            <w:r w:rsidRPr="00564B42">
              <w:rPr>
                <w:i/>
                <w:sz w:val="24"/>
                <w:szCs w:val="24"/>
              </w:rPr>
              <w:t>corporis,</w:t>
            </w:r>
          </w:p>
          <w:p w14:paraId="589CF9E9" w14:textId="77777777" w:rsidR="00E20520" w:rsidRPr="00564B42" w:rsidRDefault="00E20520" w:rsidP="00F87282">
            <w:pPr>
              <w:pStyle w:val="TableParagraph"/>
              <w:numPr>
                <w:ilvl w:val="0"/>
                <w:numId w:val="5"/>
              </w:numPr>
              <w:tabs>
                <w:tab w:val="left" w:pos="241"/>
              </w:tabs>
              <w:spacing w:line="264" w:lineRule="exact"/>
              <w:ind w:hanging="136"/>
              <w:rPr>
                <w:i/>
                <w:sz w:val="24"/>
                <w:szCs w:val="24"/>
              </w:rPr>
            </w:pPr>
            <w:r w:rsidRPr="00564B42">
              <w:rPr>
                <w:i/>
                <w:sz w:val="24"/>
                <w:szCs w:val="24"/>
              </w:rPr>
              <w:t>tinea</w:t>
            </w:r>
            <w:r w:rsidRPr="00564B42">
              <w:rPr>
                <w:i/>
                <w:spacing w:val="-4"/>
                <w:sz w:val="24"/>
                <w:szCs w:val="24"/>
              </w:rPr>
              <w:t xml:space="preserve"> </w:t>
            </w:r>
            <w:r w:rsidRPr="00564B42">
              <w:rPr>
                <w:i/>
                <w:sz w:val="24"/>
                <w:szCs w:val="24"/>
              </w:rPr>
              <w:t>cruris,</w:t>
            </w:r>
          </w:p>
          <w:p w14:paraId="73929F05" w14:textId="192C476C" w:rsidR="00E20520" w:rsidRPr="00564B42" w:rsidRDefault="00E20520" w:rsidP="00F87282">
            <w:pPr>
              <w:pStyle w:val="TableParagraph"/>
              <w:spacing w:line="258" w:lineRule="exact"/>
              <w:ind w:left="105"/>
              <w:rPr>
                <w:sz w:val="24"/>
                <w:szCs w:val="24"/>
              </w:rPr>
            </w:pPr>
            <w:r w:rsidRPr="00564B42">
              <w:rPr>
                <w:sz w:val="24"/>
                <w:szCs w:val="24"/>
              </w:rPr>
              <w:t xml:space="preserve">- </w:t>
            </w:r>
            <w:r w:rsidRPr="00564B42">
              <w:rPr>
                <w:i/>
                <w:sz w:val="24"/>
                <w:szCs w:val="24"/>
              </w:rPr>
              <w:t xml:space="preserve">candida </w:t>
            </w:r>
            <w:r w:rsidRPr="00564B42">
              <w:rPr>
                <w:sz w:val="24"/>
                <w:szCs w:val="24"/>
              </w:rPr>
              <w:t>infections</w:t>
            </w:r>
          </w:p>
        </w:tc>
        <w:tc>
          <w:tcPr>
            <w:tcW w:w="2431" w:type="dxa"/>
          </w:tcPr>
          <w:p w14:paraId="5AEB7980" w14:textId="52BCC3AA" w:rsidR="00E20520" w:rsidRPr="00564B42" w:rsidRDefault="00E20520" w:rsidP="00F87282">
            <w:pPr>
              <w:pStyle w:val="TableParagraph"/>
              <w:tabs>
                <w:tab w:val="left" w:pos="1660"/>
              </w:tabs>
              <w:ind w:right="93"/>
              <w:jc w:val="both"/>
              <w:rPr>
                <w:sz w:val="24"/>
                <w:szCs w:val="24"/>
              </w:rPr>
            </w:pPr>
            <w:r w:rsidRPr="00564B42">
              <w:rPr>
                <w:sz w:val="24"/>
                <w:szCs w:val="24"/>
              </w:rPr>
              <w:t>150 mg once weekly or 50 mg once daily</w:t>
            </w:r>
          </w:p>
        </w:tc>
        <w:tc>
          <w:tcPr>
            <w:tcW w:w="2789" w:type="dxa"/>
          </w:tcPr>
          <w:p w14:paraId="16A118EA" w14:textId="2EAB2AE6" w:rsidR="00E20520" w:rsidRPr="00564B42" w:rsidRDefault="00E20520" w:rsidP="00F87282">
            <w:pPr>
              <w:pStyle w:val="TableParagraph"/>
              <w:spacing w:line="258" w:lineRule="exact"/>
              <w:ind w:left="105"/>
              <w:rPr>
                <w:sz w:val="24"/>
                <w:szCs w:val="24"/>
              </w:rPr>
            </w:pPr>
            <w:r w:rsidRPr="00564B42">
              <w:rPr>
                <w:sz w:val="24"/>
                <w:szCs w:val="24"/>
              </w:rPr>
              <w:t xml:space="preserve">2 to 4 weeks, </w:t>
            </w:r>
            <w:r w:rsidRPr="00564B42">
              <w:rPr>
                <w:i/>
                <w:sz w:val="24"/>
                <w:szCs w:val="24"/>
              </w:rPr>
              <w:t xml:space="preserve">tinea pedis </w:t>
            </w:r>
            <w:r w:rsidRPr="00564B42">
              <w:rPr>
                <w:sz w:val="24"/>
                <w:szCs w:val="24"/>
              </w:rPr>
              <w:t>may require treatment for up to 6 weeks</w:t>
            </w:r>
          </w:p>
        </w:tc>
      </w:tr>
      <w:tr w:rsidR="00E20520" w:rsidRPr="00564B42" w14:paraId="6940ED54" w14:textId="77777777" w:rsidTr="008131B7">
        <w:trPr>
          <w:trHeight w:val="530"/>
        </w:trPr>
        <w:tc>
          <w:tcPr>
            <w:tcW w:w="2160" w:type="dxa"/>
            <w:vMerge/>
          </w:tcPr>
          <w:p w14:paraId="23B79559" w14:textId="77777777" w:rsidR="00E20520" w:rsidRPr="00564B42" w:rsidRDefault="00E20520" w:rsidP="00F87282">
            <w:pPr>
              <w:rPr>
                <w:rFonts w:ascii="Times New Roman" w:hAnsi="Times New Roman" w:cs="Times New Roman"/>
                <w:sz w:val="24"/>
                <w:szCs w:val="24"/>
              </w:rPr>
            </w:pPr>
          </w:p>
        </w:tc>
        <w:tc>
          <w:tcPr>
            <w:tcW w:w="2700" w:type="dxa"/>
            <w:vMerge w:val="restart"/>
          </w:tcPr>
          <w:p w14:paraId="54E937FF" w14:textId="511C948D" w:rsidR="00E20520" w:rsidRPr="00564B42" w:rsidRDefault="00E20520" w:rsidP="00F87282">
            <w:pPr>
              <w:pStyle w:val="TableParagraph"/>
              <w:spacing w:line="258" w:lineRule="exact"/>
              <w:ind w:left="105"/>
              <w:rPr>
                <w:sz w:val="24"/>
                <w:szCs w:val="24"/>
              </w:rPr>
            </w:pPr>
            <w:r w:rsidRPr="00564B42">
              <w:rPr>
                <w:i/>
                <w:sz w:val="24"/>
                <w:szCs w:val="24"/>
              </w:rPr>
              <w:t>- tinea versicolor</w:t>
            </w:r>
          </w:p>
        </w:tc>
        <w:tc>
          <w:tcPr>
            <w:tcW w:w="2431" w:type="dxa"/>
          </w:tcPr>
          <w:p w14:paraId="507BB6BE" w14:textId="77777777" w:rsidR="00E20520" w:rsidRPr="00564B42" w:rsidRDefault="00E20520" w:rsidP="00F87282">
            <w:pPr>
              <w:pStyle w:val="TableParagraph"/>
              <w:spacing w:line="258" w:lineRule="exact"/>
              <w:rPr>
                <w:sz w:val="24"/>
                <w:szCs w:val="24"/>
              </w:rPr>
            </w:pPr>
            <w:r w:rsidRPr="00564B42">
              <w:rPr>
                <w:sz w:val="24"/>
                <w:szCs w:val="24"/>
              </w:rPr>
              <w:t>300 mg to 400 mg once</w:t>
            </w:r>
          </w:p>
          <w:p w14:paraId="1216021D" w14:textId="351E88D7" w:rsidR="00E20520" w:rsidRPr="00564B42" w:rsidRDefault="00E20520" w:rsidP="00F87282">
            <w:pPr>
              <w:pStyle w:val="TableParagraph"/>
              <w:tabs>
                <w:tab w:val="left" w:pos="1660"/>
              </w:tabs>
              <w:ind w:right="93"/>
              <w:jc w:val="both"/>
              <w:rPr>
                <w:sz w:val="24"/>
                <w:szCs w:val="24"/>
              </w:rPr>
            </w:pPr>
            <w:r w:rsidRPr="00564B42">
              <w:rPr>
                <w:sz w:val="24"/>
                <w:szCs w:val="24"/>
              </w:rPr>
              <w:t>weekly</w:t>
            </w:r>
          </w:p>
        </w:tc>
        <w:tc>
          <w:tcPr>
            <w:tcW w:w="2789" w:type="dxa"/>
          </w:tcPr>
          <w:p w14:paraId="715BC928" w14:textId="6F747692" w:rsidR="00E20520" w:rsidRPr="00564B42" w:rsidRDefault="00E20520" w:rsidP="00F87282">
            <w:pPr>
              <w:pStyle w:val="TableParagraph"/>
              <w:spacing w:line="258" w:lineRule="exact"/>
              <w:ind w:left="105"/>
              <w:rPr>
                <w:sz w:val="24"/>
                <w:szCs w:val="24"/>
              </w:rPr>
            </w:pPr>
            <w:r w:rsidRPr="00564B42">
              <w:rPr>
                <w:sz w:val="24"/>
                <w:szCs w:val="24"/>
              </w:rPr>
              <w:t>1 to 3 weeks</w:t>
            </w:r>
          </w:p>
        </w:tc>
      </w:tr>
      <w:tr w:rsidR="00E20520" w:rsidRPr="00564B42" w14:paraId="24EF2874" w14:textId="77777777" w:rsidTr="008131B7">
        <w:trPr>
          <w:trHeight w:val="530"/>
        </w:trPr>
        <w:tc>
          <w:tcPr>
            <w:tcW w:w="2160" w:type="dxa"/>
            <w:vMerge/>
          </w:tcPr>
          <w:p w14:paraId="5C021228" w14:textId="77777777" w:rsidR="00E20520" w:rsidRPr="00564B42" w:rsidRDefault="00E20520" w:rsidP="00F87282">
            <w:pPr>
              <w:rPr>
                <w:rFonts w:ascii="Times New Roman" w:hAnsi="Times New Roman" w:cs="Times New Roman"/>
                <w:sz w:val="24"/>
                <w:szCs w:val="24"/>
              </w:rPr>
            </w:pPr>
          </w:p>
        </w:tc>
        <w:tc>
          <w:tcPr>
            <w:tcW w:w="2700" w:type="dxa"/>
            <w:vMerge/>
          </w:tcPr>
          <w:p w14:paraId="567F65AB" w14:textId="77777777" w:rsidR="00E20520" w:rsidRPr="00564B42" w:rsidRDefault="00E20520" w:rsidP="00F87282">
            <w:pPr>
              <w:pStyle w:val="TableParagraph"/>
              <w:spacing w:line="258" w:lineRule="exact"/>
              <w:ind w:left="105"/>
              <w:rPr>
                <w:sz w:val="24"/>
                <w:szCs w:val="24"/>
              </w:rPr>
            </w:pPr>
          </w:p>
        </w:tc>
        <w:tc>
          <w:tcPr>
            <w:tcW w:w="2431" w:type="dxa"/>
          </w:tcPr>
          <w:p w14:paraId="706C227E" w14:textId="61F5B067" w:rsidR="00E20520" w:rsidRPr="00564B42" w:rsidRDefault="00E20520" w:rsidP="00F87282">
            <w:pPr>
              <w:pStyle w:val="TableParagraph"/>
              <w:tabs>
                <w:tab w:val="left" w:pos="1660"/>
              </w:tabs>
              <w:ind w:right="93"/>
              <w:jc w:val="both"/>
              <w:rPr>
                <w:sz w:val="24"/>
                <w:szCs w:val="24"/>
              </w:rPr>
            </w:pPr>
            <w:r w:rsidRPr="00564B42">
              <w:rPr>
                <w:sz w:val="24"/>
                <w:szCs w:val="24"/>
              </w:rPr>
              <w:t>50 mg once daily</w:t>
            </w:r>
          </w:p>
        </w:tc>
        <w:tc>
          <w:tcPr>
            <w:tcW w:w="2789" w:type="dxa"/>
          </w:tcPr>
          <w:p w14:paraId="7F741FA6" w14:textId="297D58E1" w:rsidR="00E20520" w:rsidRPr="00564B42" w:rsidRDefault="00E20520" w:rsidP="00F87282">
            <w:pPr>
              <w:pStyle w:val="TableParagraph"/>
              <w:spacing w:line="258" w:lineRule="exact"/>
              <w:ind w:left="105"/>
              <w:rPr>
                <w:sz w:val="24"/>
                <w:szCs w:val="24"/>
              </w:rPr>
            </w:pPr>
            <w:r w:rsidRPr="00564B42">
              <w:rPr>
                <w:sz w:val="24"/>
                <w:szCs w:val="24"/>
              </w:rPr>
              <w:t>2 to 4 weeks</w:t>
            </w:r>
          </w:p>
        </w:tc>
      </w:tr>
      <w:tr w:rsidR="00E20520" w:rsidRPr="00564B42" w14:paraId="551B0AF7" w14:textId="77777777" w:rsidTr="008131B7">
        <w:trPr>
          <w:trHeight w:val="530"/>
        </w:trPr>
        <w:tc>
          <w:tcPr>
            <w:tcW w:w="2160" w:type="dxa"/>
            <w:vMerge/>
            <w:tcBorders>
              <w:bottom w:val="single" w:sz="4" w:space="0" w:color="auto"/>
            </w:tcBorders>
          </w:tcPr>
          <w:p w14:paraId="503D48EF" w14:textId="77777777" w:rsidR="00E20520" w:rsidRPr="00564B42" w:rsidRDefault="00E20520" w:rsidP="00F87282">
            <w:pPr>
              <w:rPr>
                <w:rFonts w:ascii="Times New Roman" w:hAnsi="Times New Roman" w:cs="Times New Roman"/>
                <w:sz w:val="24"/>
                <w:szCs w:val="24"/>
              </w:rPr>
            </w:pPr>
          </w:p>
        </w:tc>
        <w:tc>
          <w:tcPr>
            <w:tcW w:w="2700" w:type="dxa"/>
          </w:tcPr>
          <w:p w14:paraId="0A8A75F1" w14:textId="77777777" w:rsidR="00E20520" w:rsidRPr="00564B42" w:rsidRDefault="00E20520" w:rsidP="00F87282">
            <w:pPr>
              <w:pStyle w:val="TableParagraph"/>
              <w:tabs>
                <w:tab w:val="left" w:pos="1696"/>
              </w:tabs>
              <w:spacing w:line="258" w:lineRule="exact"/>
              <w:ind w:left="105"/>
              <w:rPr>
                <w:i/>
                <w:sz w:val="24"/>
                <w:szCs w:val="24"/>
              </w:rPr>
            </w:pPr>
            <w:r w:rsidRPr="00564B42">
              <w:rPr>
                <w:i/>
                <w:sz w:val="24"/>
                <w:szCs w:val="24"/>
              </w:rPr>
              <w:t>tinea</w:t>
            </w:r>
            <w:r w:rsidRPr="00564B42">
              <w:rPr>
                <w:i/>
                <w:sz w:val="24"/>
                <w:szCs w:val="24"/>
              </w:rPr>
              <w:tab/>
              <w:t>unguium</w:t>
            </w:r>
          </w:p>
          <w:p w14:paraId="5A23D955" w14:textId="7CDB6461" w:rsidR="00E20520" w:rsidRPr="00564B42" w:rsidRDefault="00E20520" w:rsidP="00F87282">
            <w:pPr>
              <w:pStyle w:val="TableParagraph"/>
              <w:spacing w:line="258" w:lineRule="exact"/>
              <w:ind w:left="105"/>
              <w:rPr>
                <w:sz w:val="24"/>
                <w:szCs w:val="24"/>
              </w:rPr>
            </w:pPr>
            <w:r w:rsidRPr="00564B42">
              <w:rPr>
                <w:sz w:val="24"/>
                <w:szCs w:val="24"/>
              </w:rPr>
              <w:t>(</w:t>
            </w:r>
            <w:r w:rsidRPr="00564B42">
              <w:rPr>
                <w:i/>
                <w:sz w:val="24"/>
                <w:szCs w:val="24"/>
              </w:rPr>
              <w:t>onychomycosis</w:t>
            </w:r>
            <w:r w:rsidRPr="00564B42">
              <w:rPr>
                <w:sz w:val="24"/>
                <w:szCs w:val="24"/>
              </w:rPr>
              <w:t>)</w:t>
            </w:r>
          </w:p>
        </w:tc>
        <w:tc>
          <w:tcPr>
            <w:tcW w:w="2431" w:type="dxa"/>
          </w:tcPr>
          <w:p w14:paraId="2C5569EC" w14:textId="7BCEBE03" w:rsidR="00E20520" w:rsidRPr="00564B42" w:rsidRDefault="00E20520" w:rsidP="00F87282">
            <w:pPr>
              <w:pStyle w:val="TableParagraph"/>
              <w:tabs>
                <w:tab w:val="left" w:pos="1660"/>
              </w:tabs>
              <w:ind w:right="93"/>
              <w:jc w:val="both"/>
              <w:rPr>
                <w:sz w:val="24"/>
                <w:szCs w:val="24"/>
              </w:rPr>
            </w:pPr>
            <w:r w:rsidRPr="00564B42">
              <w:rPr>
                <w:sz w:val="24"/>
                <w:szCs w:val="24"/>
              </w:rPr>
              <w:t>150 mg once weekly</w:t>
            </w:r>
          </w:p>
          <w:p w14:paraId="455C7758" w14:textId="075B475C" w:rsidR="00E20520" w:rsidRPr="00564B42" w:rsidRDefault="00E20520" w:rsidP="00E20520"/>
          <w:p w14:paraId="53CD4679" w14:textId="77777777" w:rsidR="00E20520" w:rsidRPr="00564B42" w:rsidRDefault="00E20520" w:rsidP="00E20520">
            <w:pPr>
              <w:ind w:firstLine="720"/>
            </w:pPr>
          </w:p>
        </w:tc>
        <w:tc>
          <w:tcPr>
            <w:tcW w:w="2789" w:type="dxa"/>
          </w:tcPr>
          <w:p w14:paraId="293376A9" w14:textId="77777777" w:rsidR="00E20520" w:rsidRPr="00564B42" w:rsidRDefault="00E20520" w:rsidP="00F87282">
            <w:pPr>
              <w:pStyle w:val="TableParagraph"/>
              <w:ind w:left="105" w:right="96"/>
              <w:jc w:val="both"/>
              <w:rPr>
                <w:sz w:val="24"/>
                <w:szCs w:val="24"/>
              </w:rPr>
            </w:pPr>
            <w:r w:rsidRPr="00564B42">
              <w:rPr>
                <w:sz w:val="24"/>
                <w:szCs w:val="24"/>
              </w:rPr>
              <w:t xml:space="preserve">Treatment should be continued until infected nail is replaced (uninfected nail grows in). Regrowth of fingernails and toenails  normally  requires  3  to </w:t>
            </w:r>
            <w:r w:rsidRPr="00564B42">
              <w:rPr>
                <w:spacing w:val="13"/>
                <w:sz w:val="24"/>
                <w:szCs w:val="24"/>
              </w:rPr>
              <w:t xml:space="preserve"> </w:t>
            </w:r>
            <w:r w:rsidRPr="00564B42">
              <w:rPr>
                <w:sz w:val="24"/>
                <w:szCs w:val="24"/>
              </w:rPr>
              <w:t>6</w:t>
            </w:r>
          </w:p>
          <w:p w14:paraId="63CD469E" w14:textId="47343B27" w:rsidR="00E20520" w:rsidRPr="00564B42" w:rsidRDefault="00E20520" w:rsidP="00E20520">
            <w:pPr>
              <w:pStyle w:val="TableParagraph"/>
              <w:ind w:left="105" w:right="95"/>
              <w:jc w:val="both"/>
              <w:rPr>
                <w:sz w:val="24"/>
                <w:szCs w:val="24"/>
              </w:rPr>
            </w:pPr>
            <w:r w:rsidRPr="00564B42">
              <w:rPr>
                <w:sz w:val="24"/>
                <w:szCs w:val="24"/>
              </w:rPr>
              <w:t xml:space="preserve">months and 6 to 12 months, respectively. However, growth rates may vary widely in individuals, and by age. After successful treatment of long-term chronic           infections,        </w:t>
            </w:r>
            <w:r w:rsidRPr="00564B42">
              <w:rPr>
                <w:spacing w:val="47"/>
                <w:sz w:val="24"/>
                <w:szCs w:val="24"/>
              </w:rPr>
              <w:t xml:space="preserve"> </w:t>
            </w:r>
            <w:r w:rsidRPr="00564B42">
              <w:rPr>
                <w:sz w:val="24"/>
                <w:szCs w:val="24"/>
              </w:rPr>
              <w:t>nails occasionally remain disfigured.</w:t>
            </w:r>
          </w:p>
        </w:tc>
      </w:tr>
      <w:tr w:rsidR="00E20520" w:rsidRPr="00564B42" w14:paraId="480398FB" w14:textId="77777777" w:rsidTr="008131B7">
        <w:trPr>
          <w:trHeight w:val="530"/>
        </w:trPr>
        <w:tc>
          <w:tcPr>
            <w:tcW w:w="2160" w:type="dxa"/>
            <w:tcBorders>
              <w:top w:val="single" w:sz="4" w:space="0" w:color="auto"/>
            </w:tcBorders>
          </w:tcPr>
          <w:p w14:paraId="6FE18994" w14:textId="2A976C63" w:rsidR="00E20520" w:rsidRPr="00564B42" w:rsidRDefault="00E20520" w:rsidP="00E20520">
            <w:pPr>
              <w:rPr>
                <w:rFonts w:ascii="Times New Roman" w:hAnsi="Times New Roman" w:cs="Times New Roman"/>
                <w:sz w:val="24"/>
                <w:szCs w:val="24"/>
              </w:rPr>
            </w:pPr>
            <w:r w:rsidRPr="00564B42">
              <w:rPr>
                <w:rFonts w:ascii="Times New Roman" w:hAnsi="Times New Roman" w:cs="Times New Roman"/>
                <w:b/>
                <w:sz w:val="24"/>
                <w:szCs w:val="24"/>
              </w:rPr>
              <w:t>Prophylaxis</w:t>
            </w:r>
            <w:r w:rsidRPr="00564B42">
              <w:rPr>
                <w:rFonts w:ascii="Times New Roman" w:hAnsi="Times New Roman" w:cs="Times New Roman"/>
                <w:b/>
                <w:sz w:val="24"/>
                <w:szCs w:val="24"/>
              </w:rPr>
              <w:tab/>
            </w:r>
            <w:r w:rsidRPr="00564B42">
              <w:rPr>
                <w:rFonts w:ascii="Times New Roman" w:hAnsi="Times New Roman" w:cs="Times New Roman"/>
                <w:b/>
                <w:spacing w:val="-9"/>
                <w:sz w:val="24"/>
                <w:szCs w:val="24"/>
              </w:rPr>
              <w:t xml:space="preserve">of </w:t>
            </w:r>
            <w:r w:rsidRPr="00564B42">
              <w:rPr>
                <w:rFonts w:ascii="Times New Roman" w:hAnsi="Times New Roman" w:cs="Times New Roman"/>
                <w:b/>
                <w:sz w:val="24"/>
                <w:szCs w:val="24"/>
              </w:rPr>
              <w:t xml:space="preserve">candida </w:t>
            </w:r>
            <w:r w:rsidRPr="00564B42">
              <w:rPr>
                <w:rFonts w:ascii="Times New Roman" w:hAnsi="Times New Roman" w:cs="Times New Roman"/>
                <w:b/>
                <w:spacing w:val="-3"/>
                <w:sz w:val="24"/>
                <w:szCs w:val="24"/>
              </w:rPr>
              <w:t xml:space="preserve">infections </w:t>
            </w:r>
            <w:r w:rsidRPr="00564B42">
              <w:rPr>
                <w:rFonts w:ascii="Times New Roman" w:hAnsi="Times New Roman" w:cs="Times New Roman"/>
                <w:b/>
                <w:sz w:val="24"/>
                <w:szCs w:val="24"/>
              </w:rPr>
              <w:t>in</w:t>
            </w:r>
            <w:r w:rsidR="008131B7">
              <w:rPr>
                <w:rFonts w:ascii="Times New Roman" w:hAnsi="Times New Roman" w:cs="Times New Roman"/>
                <w:b/>
                <w:sz w:val="24"/>
                <w:szCs w:val="24"/>
              </w:rPr>
              <w:t xml:space="preserve"> </w:t>
            </w:r>
            <w:r w:rsidRPr="00564B42">
              <w:rPr>
                <w:rFonts w:ascii="Times New Roman" w:hAnsi="Times New Roman" w:cs="Times New Roman"/>
                <w:b/>
                <w:sz w:val="24"/>
                <w:szCs w:val="24"/>
              </w:rPr>
              <w:t xml:space="preserve">patients </w:t>
            </w:r>
            <w:r w:rsidRPr="00564B42">
              <w:rPr>
                <w:rFonts w:ascii="Times New Roman" w:hAnsi="Times New Roman" w:cs="Times New Roman"/>
                <w:b/>
                <w:spacing w:val="-6"/>
                <w:sz w:val="24"/>
                <w:szCs w:val="24"/>
              </w:rPr>
              <w:t xml:space="preserve">with </w:t>
            </w:r>
            <w:r w:rsidRPr="00564B42">
              <w:rPr>
                <w:rFonts w:ascii="Times New Roman" w:hAnsi="Times New Roman" w:cs="Times New Roman"/>
                <w:b/>
                <w:sz w:val="24"/>
                <w:szCs w:val="24"/>
              </w:rPr>
              <w:t>prolonged neutropenia</w:t>
            </w:r>
          </w:p>
        </w:tc>
        <w:tc>
          <w:tcPr>
            <w:tcW w:w="2700" w:type="dxa"/>
          </w:tcPr>
          <w:p w14:paraId="3A67EEC6" w14:textId="77777777" w:rsidR="00E20520" w:rsidRPr="00564B42" w:rsidRDefault="00E20520" w:rsidP="00E20520">
            <w:pPr>
              <w:pStyle w:val="TableParagraph"/>
              <w:spacing w:line="258" w:lineRule="exact"/>
              <w:ind w:left="105"/>
              <w:rPr>
                <w:sz w:val="24"/>
                <w:szCs w:val="24"/>
              </w:rPr>
            </w:pPr>
          </w:p>
        </w:tc>
        <w:tc>
          <w:tcPr>
            <w:tcW w:w="2431" w:type="dxa"/>
          </w:tcPr>
          <w:p w14:paraId="403FED15" w14:textId="665324DD" w:rsidR="00E20520" w:rsidRPr="00564B42" w:rsidRDefault="00E20520" w:rsidP="00E20520">
            <w:pPr>
              <w:pStyle w:val="TableParagraph"/>
              <w:tabs>
                <w:tab w:val="left" w:pos="1660"/>
              </w:tabs>
              <w:ind w:right="93"/>
              <w:jc w:val="both"/>
              <w:rPr>
                <w:sz w:val="24"/>
                <w:szCs w:val="24"/>
              </w:rPr>
            </w:pPr>
            <w:r w:rsidRPr="00564B42">
              <w:rPr>
                <w:sz w:val="24"/>
                <w:szCs w:val="24"/>
              </w:rPr>
              <w:t>200 mg to 400 mg</w:t>
            </w:r>
          </w:p>
        </w:tc>
        <w:tc>
          <w:tcPr>
            <w:tcW w:w="2789" w:type="dxa"/>
          </w:tcPr>
          <w:p w14:paraId="1EBA1BB6" w14:textId="77777777" w:rsidR="00E20520" w:rsidRPr="00564B42" w:rsidRDefault="00E20520" w:rsidP="00E20520">
            <w:pPr>
              <w:pStyle w:val="TableParagraph"/>
              <w:ind w:left="105" w:right="96"/>
              <w:jc w:val="both"/>
              <w:rPr>
                <w:sz w:val="24"/>
                <w:szCs w:val="24"/>
              </w:rPr>
            </w:pPr>
            <w:r w:rsidRPr="00564B42">
              <w:rPr>
                <w:sz w:val="24"/>
                <w:szCs w:val="24"/>
              </w:rPr>
              <w:t xml:space="preserve">Treatment should start several days before the anticipated onset of neutropenia and continue for 7 days after recovery from neutropenia after the neutrophil count rises </w:t>
            </w:r>
            <w:r w:rsidRPr="00564B42">
              <w:rPr>
                <w:sz w:val="24"/>
                <w:szCs w:val="24"/>
              </w:rPr>
              <w:lastRenderedPageBreak/>
              <w:t>above 1000 cells</w:t>
            </w:r>
            <w:r w:rsidRPr="00564B42">
              <w:rPr>
                <w:spacing w:val="52"/>
                <w:sz w:val="24"/>
                <w:szCs w:val="24"/>
              </w:rPr>
              <w:t xml:space="preserve"> </w:t>
            </w:r>
            <w:r w:rsidRPr="00564B42">
              <w:rPr>
                <w:sz w:val="24"/>
                <w:szCs w:val="24"/>
              </w:rPr>
              <w:t>per</w:t>
            </w:r>
          </w:p>
          <w:p w14:paraId="6F771F95" w14:textId="64C5DE65" w:rsidR="00E20520" w:rsidRPr="00564B42" w:rsidRDefault="00E20520" w:rsidP="00E20520">
            <w:pPr>
              <w:pStyle w:val="TableParagraph"/>
              <w:spacing w:line="258" w:lineRule="exact"/>
              <w:ind w:left="105"/>
              <w:rPr>
                <w:sz w:val="24"/>
                <w:szCs w:val="24"/>
              </w:rPr>
            </w:pPr>
            <w:r w:rsidRPr="00564B42">
              <w:rPr>
                <w:sz w:val="24"/>
                <w:szCs w:val="24"/>
              </w:rPr>
              <w:t>mm</w:t>
            </w:r>
            <w:r w:rsidRPr="00564B42">
              <w:rPr>
                <w:sz w:val="24"/>
                <w:szCs w:val="24"/>
                <w:vertAlign w:val="superscript"/>
              </w:rPr>
              <w:t>3</w:t>
            </w:r>
            <w:r w:rsidRPr="00564B42">
              <w:rPr>
                <w:sz w:val="24"/>
                <w:szCs w:val="24"/>
              </w:rPr>
              <w:t>.</w:t>
            </w:r>
          </w:p>
        </w:tc>
      </w:tr>
    </w:tbl>
    <w:p w14:paraId="34F32BDE" w14:textId="77777777" w:rsidR="00E20520" w:rsidRPr="00564B42" w:rsidRDefault="00E20520" w:rsidP="00E20520">
      <w:pPr>
        <w:pStyle w:val="NormalWeb"/>
        <w:shd w:val="clear" w:color="auto" w:fill="FFFFFF"/>
        <w:spacing w:after="0" w:line="276" w:lineRule="auto"/>
        <w:ind w:left="-360"/>
        <w:jc w:val="both"/>
        <w:rPr>
          <w:b/>
          <w:iCs/>
        </w:rPr>
      </w:pPr>
      <w:r w:rsidRPr="00564B42">
        <w:rPr>
          <w:b/>
          <w:iCs/>
        </w:rPr>
        <w:lastRenderedPageBreak/>
        <w:t>Special populations</w:t>
      </w:r>
    </w:p>
    <w:p w14:paraId="29C102C0" w14:textId="77777777" w:rsidR="00E20520" w:rsidRPr="00564B42" w:rsidRDefault="00E20520" w:rsidP="00E20520">
      <w:pPr>
        <w:pStyle w:val="NormalWeb"/>
        <w:shd w:val="clear" w:color="auto" w:fill="FFFFFF"/>
        <w:spacing w:after="0" w:line="276" w:lineRule="auto"/>
        <w:ind w:left="-360"/>
        <w:jc w:val="both"/>
        <w:rPr>
          <w:iCs/>
        </w:rPr>
      </w:pPr>
      <w:r w:rsidRPr="00564B42">
        <w:rPr>
          <w:b/>
          <w:iCs/>
        </w:rPr>
        <w:t>Elderly:</w:t>
      </w:r>
      <w:r w:rsidRPr="00564B42">
        <w:rPr>
          <w:iCs/>
        </w:rPr>
        <w:t xml:space="preserve"> Dosage should be adjusted based on the renal function (see “Renal impairment”). </w:t>
      </w:r>
    </w:p>
    <w:p w14:paraId="5524CCC6" w14:textId="43BF43D8" w:rsidR="005057C8" w:rsidRPr="00564B42" w:rsidRDefault="00E20520" w:rsidP="00564B42">
      <w:pPr>
        <w:pStyle w:val="NormalWeb"/>
        <w:shd w:val="clear" w:color="auto" w:fill="FFFFFF"/>
        <w:spacing w:after="0" w:line="276" w:lineRule="auto"/>
        <w:ind w:left="-360" w:right="-333"/>
        <w:jc w:val="both"/>
        <w:rPr>
          <w:iCs/>
        </w:rPr>
      </w:pPr>
      <w:r w:rsidRPr="00564B42">
        <w:rPr>
          <w:b/>
          <w:iCs/>
        </w:rPr>
        <w:t>Renal impairment:</w:t>
      </w:r>
      <w:r w:rsidRPr="00564B42">
        <w:rPr>
          <w:iCs/>
        </w:rPr>
        <w:t xml:space="preserve"> No adjustments in single dose therapy are necessary. In patients (including paediatric population) with impaired renal function who will receive multiple doses of fluconazole, an initial dose of 50 mg to 400 mg should be given, based on the recommended daily dose for the indication. After this initial loading dose, the daily dose (according to indication) should be based on the following table: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E20520" w:rsidRPr="00564B42" w14:paraId="004D9507" w14:textId="77777777" w:rsidTr="00E20520">
        <w:trPr>
          <w:trHeight w:val="414"/>
        </w:trPr>
        <w:tc>
          <w:tcPr>
            <w:tcW w:w="4788" w:type="dxa"/>
          </w:tcPr>
          <w:p w14:paraId="4E3E5A71" w14:textId="77777777" w:rsidR="00E20520" w:rsidRPr="00564B42" w:rsidRDefault="00E20520" w:rsidP="00BB20DE">
            <w:pPr>
              <w:pStyle w:val="TableParagraph"/>
              <w:spacing w:line="275" w:lineRule="exact"/>
              <w:rPr>
                <w:b/>
                <w:sz w:val="24"/>
              </w:rPr>
            </w:pPr>
            <w:r w:rsidRPr="00564B42">
              <w:rPr>
                <w:b/>
                <w:sz w:val="24"/>
              </w:rPr>
              <w:t>Creatinine clearance (ml/min)</w:t>
            </w:r>
          </w:p>
        </w:tc>
        <w:tc>
          <w:tcPr>
            <w:tcW w:w="4788" w:type="dxa"/>
          </w:tcPr>
          <w:p w14:paraId="492089A7" w14:textId="77777777" w:rsidR="00E20520" w:rsidRPr="00564B42" w:rsidRDefault="00E20520" w:rsidP="00BB20DE">
            <w:pPr>
              <w:pStyle w:val="TableParagraph"/>
              <w:spacing w:line="275" w:lineRule="exact"/>
              <w:rPr>
                <w:b/>
                <w:sz w:val="24"/>
              </w:rPr>
            </w:pPr>
            <w:r w:rsidRPr="00564B42">
              <w:rPr>
                <w:b/>
                <w:sz w:val="24"/>
              </w:rPr>
              <w:t>Percent of recommended dose</w:t>
            </w:r>
          </w:p>
        </w:tc>
      </w:tr>
      <w:tr w:rsidR="00E20520" w:rsidRPr="00564B42" w14:paraId="2D9028EB" w14:textId="77777777" w:rsidTr="00E20520">
        <w:trPr>
          <w:trHeight w:val="412"/>
        </w:trPr>
        <w:tc>
          <w:tcPr>
            <w:tcW w:w="4788" w:type="dxa"/>
          </w:tcPr>
          <w:p w14:paraId="3B5ADA5A" w14:textId="77777777" w:rsidR="00E20520" w:rsidRPr="00564B42" w:rsidRDefault="00E20520" w:rsidP="00BB20DE">
            <w:pPr>
              <w:pStyle w:val="TableParagraph"/>
              <w:spacing w:line="270" w:lineRule="exact"/>
              <w:rPr>
                <w:sz w:val="24"/>
              </w:rPr>
            </w:pPr>
            <w:r w:rsidRPr="00564B42">
              <w:rPr>
                <w:sz w:val="24"/>
              </w:rPr>
              <w:t>&gt;50</w:t>
            </w:r>
          </w:p>
        </w:tc>
        <w:tc>
          <w:tcPr>
            <w:tcW w:w="4788" w:type="dxa"/>
          </w:tcPr>
          <w:p w14:paraId="27777A00" w14:textId="77777777" w:rsidR="00E20520" w:rsidRPr="00564B42" w:rsidRDefault="00E20520" w:rsidP="00BB20DE">
            <w:pPr>
              <w:pStyle w:val="TableParagraph"/>
              <w:spacing w:line="270" w:lineRule="exact"/>
              <w:rPr>
                <w:sz w:val="24"/>
              </w:rPr>
            </w:pPr>
            <w:r w:rsidRPr="00564B42">
              <w:rPr>
                <w:sz w:val="24"/>
              </w:rPr>
              <w:t>100%</w:t>
            </w:r>
          </w:p>
        </w:tc>
      </w:tr>
      <w:tr w:rsidR="00E20520" w:rsidRPr="00564B42" w14:paraId="11D2D6E5" w14:textId="77777777" w:rsidTr="00E20520">
        <w:trPr>
          <w:trHeight w:val="414"/>
        </w:trPr>
        <w:tc>
          <w:tcPr>
            <w:tcW w:w="4788" w:type="dxa"/>
          </w:tcPr>
          <w:p w14:paraId="0E7E8DD3" w14:textId="77777777" w:rsidR="00E20520" w:rsidRPr="00564B42" w:rsidRDefault="00E20520" w:rsidP="00BB20DE">
            <w:pPr>
              <w:pStyle w:val="TableParagraph"/>
              <w:spacing w:line="270" w:lineRule="exact"/>
              <w:rPr>
                <w:sz w:val="24"/>
              </w:rPr>
            </w:pPr>
            <w:r w:rsidRPr="00564B42">
              <w:rPr>
                <w:sz w:val="24"/>
              </w:rPr>
              <w:t>≤50 (no dialysis)</w:t>
            </w:r>
          </w:p>
        </w:tc>
        <w:tc>
          <w:tcPr>
            <w:tcW w:w="4788" w:type="dxa"/>
          </w:tcPr>
          <w:p w14:paraId="281391F3" w14:textId="77777777" w:rsidR="00E20520" w:rsidRPr="00564B42" w:rsidRDefault="00E20520" w:rsidP="00BB20DE">
            <w:pPr>
              <w:pStyle w:val="TableParagraph"/>
              <w:spacing w:line="270" w:lineRule="exact"/>
              <w:rPr>
                <w:sz w:val="24"/>
              </w:rPr>
            </w:pPr>
            <w:r w:rsidRPr="00564B42">
              <w:rPr>
                <w:sz w:val="24"/>
              </w:rPr>
              <w:t>50%</w:t>
            </w:r>
          </w:p>
        </w:tc>
      </w:tr>
      <w:tr w:rsidR="00E20520" w:rsidRPr="00564B42" w14:paraId="1D0FBA38" w14:textId="77777777" w:rsidTr="00E20520">
        <w:trPr>
          <w:trHeight w:val="414"/>
        </w:trPr>
        <w:tc>
          <w:tcPr>
            <w:tcW w:w="4788" w:type="dxa"/>
          </w:tcPr>
          <w:p w14:paraId="608ACAD5" w14:textId="77777777" w:rsidR="00E20520" w:rsidRPr="00564B42" w:rsidRDefault="00E20520" w:rsidP="00BB20DE">
            <w:pPr>
              <w:pStyle w:val="TableParagraph"/>
              <w:spacing w:line="270" w:lineRule="exact"/>
              <w:rPr>
                <w:sz w:val="24"/>
              </w:rPr>
            </w:pPr>
            <w:r w:rsidRPr="00564B42">
              <w:rPr>
                <w:sz w:val="24"/>
              </w:rPr>
              <w:t>Regular dialysis</w:t>
            </w:r>
          </w:p>
        </w:tc>
        <w:tc>
          <w:tcPr>
            <w:tcW w:w="4788" w:type="dxa"/>
          </w:tcPr>
          <w:p w14:paraId="47943DB2" w14:textId="77777777" w:rsidR="00E20520" w:rsidRPr="00564B42" w:rsidRDefault="00E20520" w:rsidP="00BB20DE">
            <w:pPr>
              <w:pStyle w:val="TableParagraph"/>
              <w:spacing w:line="270" w:lineRule="exact"/>
              <w:rPr>
                <w:sz w:val="24"/>
              </w:rPr>
            </w:pPr>
            <w:r w:rsidRPr="00564B42">
              <w:rPr>
                <w:sz w:val="24"/>
              </w:rPr>
              <w:t>100% after each dialysis</w:t>
            </w:r>
          </w:p>
        </w:tc>
      </w:tr>
    </w:tbl>
    <w:p w14:paraId="6898BBD7" w14:textId="77777777" w:rsidR="00E20520" w:rsidRPr="00564B42" w:rsidRDefault="00E20520" w:rsidP="00E20520">
      <w:pPr>
        <w:pStyle w:val="BodyText"/>
        <w:spacing w:line="360" w:lineRule="auto"/>
        <w:ind w:left="-270" w:right="-63"/>
        <w:jc w:val="both"/>
        <w:rPr>
          <w:rFonts w:ascii="Times New Roman" w:hAnsi="Times New Roman" w:cs="Times New Roman"/>
        </w:rPr>
      </w:pPr>
    </w:p>
    <w:p w14:paraId="7B9051ED" w14:textId="77777777" w:rsidR="00E20520" w:rsidRPr="00564B42" w:rsidRDefault="00E20520" w:rsidP="00564B42">
      <w:pPr>
        <w:pStyle w:val="BodyText"/>
        <w:spacing w:line="36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t xml:space="preserve">Patients on regular dialysis should receive 100% of the recommended dose after each dialysis; on non-dialysis days, patients should receive a reduced dose according to their creatinine clearance. </w:t>
      </w:r>
      <w:r w:rsidRPr="00564B42">
        <w:rPr>
          <w:rFonts w:ascii="Times New Roman" w:hAnsi="Times New Roman" w:cs="Times New Roman"/>
          <w:b/>
          <w:sz w:val="24"/>
          <w:szCs w:val="24"/>
        </w:rPr>
        <w:t xml:space="preserve">Hepatic impairment: </w:t>
      </w:r>
      <w:r w:rsidRPr="00564B42">
        <w:rPr>
          <w:rFonts w:ascii="Times New Roman" w:hAnsi="Times New Roman" w:cs="Times New Roman"/>
          <w:sz w:val="24"/>
          <w:szCs w:val="24"/>
        </w:rPr>
        <w:t>Limited data are available in patients with hepatic impairment; therefore fluconazole should be administered with caution to patients with liver dysfunction.</w:t>
      </w:r>
    </w:p>
    <w:p w14:paraId="6AA3F9FD" w14:textId="77777777" w:rsidR="00E20520" w:rsidRPr="00564B42" w:rsidRDefault="00E20520" w:rsidP="008131B7">
      <w:pPr>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Paediatric population: </w:t>
      </w:r>
      <w:r w:rsidRPr="00564B42">
        <w:rPr>
          <w:rFonts w:ascii="Times New Roman" w:hAnsi="Times New Roman" w:cs="Times New Roman"/>
          <w:sz w:val="24"/>
          <w:szCs w:val="24"/>
        </w:rPr>
        <w:t>A maximum dose of 400 mg daily should not be exceeded in paediatric population.</w:t>
      </w:r>
    </w:p>
    <w:p w14:paraId="2FBA59B8" w14:textId="77777777" w:rsidR="00E20520" w:rsidRPr="00564B42" w:rsidRDefault="00E20520" w:rsidP="008131B7">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t>As with similar infections in adults, the duration of treatment is based on the clinical and mycological response. A Fluconazole capsule is administered as a single daily dose.</w:t>
      </w:r>
    </w:p>
    <w:p w14:paraId="37E1030A" w14:textId="1648E4F6" w:rsidR="00E20520" w:rsidRPr="00564B42" w:rsidRDefault="00E20520" w:rsidP="008131B7">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t>For paediatric patients with impaired renal function, see dosing in “</w:t>
      </w:r>
      <w:r w:rsidRPr="00564B42">
        <w:rPr>
          <w:rFonts w:ascii="Times New Roman" w:hAnsi="Times New Roman" w:cs="Times New Roman"/>
          <w:i/>
          <w:sz w:val="24"/>
          <w:szCs w:val="24"/>
        </w:rPr>
        <w:t>Renal impairment</w:t>
      </w:r>
      <w:r w:rsidRPr="00564B42">
        <w:rPr>
          <w:rFonts w:ascii="Times New Roman" w:hAnsi="Times New Roman" w:cs="Times New Roman"/>
          <w:sz w:val="24"/>
          <w:szCs w:val="24"/>
        </w:rPr>
        <w:t xml:space="preserve">”. The pharmacokinetics of fluconazole has not been studied in paediatric population with renal insufficiency (for “Term newborn infants” who often exhibit primarily renal immaturity). </w:t>
      </w:r>
      <w:r w:rsidRPr="00564B42">
        <w:rPr>
          <w:rFonts w:ascii="Times New Roman" w:hAnsi="Times New Roman" w:cs="Times New Roman"/>
          <w:b/>
          <w:sz w:val="24"/>
          <w:szCs w:val="24"/>
        </w:rPr>
        <w:t>Infants, toddlers and children (from 28 days to 11 years old):</w:t>
      </w:r>
    </w:p>
    <w:tbl>
      <w:tblPr>
        <w:tblW w:w="99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3409"/>
        <w:gridCol w:w="3161"/>
      </w:tblGrid>
      <w:tr w:rsidR="00E20520" w:rsidRPr="00564B42" w14:paraId="3C0471AC" w14:textId="77777777" w:rsidTr="00E20520">
        <w:trPr>
          <w:trHeight w:val="412"/>
        </w:trPr>
        <w:tc>
          <w:tcPr>
            <w:tcW w:w="3330" w:type="dxa"/>
          </w:tcPr>
          <w:p w14:paraId="7DF2F136" w14:textId="77777777" w:rsidR="00E20520" w:rsidRPr="00564B42" w:rsidRDefault="00E20520" w:rsidP="00BB20DE">
            <w:pPr>
              <w:pStyle w:val="TableParagraph"/>
              <w:spacing w:line="275" w:lineRule="exact"/>
              <w:ind w:left="1067"/>
              <w:rPr>
                <w:b/>
                <w:sz w:val="24"/>
              </w:rPr>
            </w:pPr>
            <w:r w:rsidRPr="00564B42">
              <w:rPr>
                <w:b/>
                <w:sz w:val="24"/>
              </w:rPr>
              <w:t>Indication</w:t>
            </w:r>
          </w:p>
        </w:tc>
        <w:tc>
          <w:tcPr>
            <w:tcW w:w="3409" w:type="dxa"/>
          </w:tcPr>
          <w:p w14:paraId="6C1C9190" w14:textId="77777777" w:rsidR="00E20520" w:rsidRPr="00564B42" w:rsidRDefault="00E20520" w:rsidP="00BB20DE">
            <w:pPr>
              <w:pStyle w:val="TableParagraph"/>
              <w:spacing w:line="275" w:lineRule="exact"/>
              <w:ind w:left="1121" w:right="1114"/>
              <w:jc w:val="center"/>
              <w:rPr>
                <w:b/>
                <w:sz w:val="24"/>
              </w:rPr>
            </w:pPr>
            <w:r w:rsidRPr="00564B42">
              <w:rPr>
                <w:b/>
                <w:sz w:val="24"/>
              </w:rPr>
              <w:t>Posology</w:t>
            </w:r>
          </w:p>
        </w:tc>
        <w:tc>
          <w:tcPr>
            <w:tcW w:w="3161" w:type="dxa"/>
          </w:tcPr>
          <w:p w14:paraId="1F091F5A" w14:textId="77777777" w:rsidR="00E20520" w:rsidRPr="00564B42" w:rsidRDefault="00E20520" w:rsidP="00BB20DE">
            <w:pPr>
              <w:pStyle w:val="TableParagraph"/>
              <w:spacing w:line="275" w:lineRule="exact"/>
              <w:ind w:left="818"/>
              <w:rPr>
                <w:b/>
                <w:sz w:val="24"/>
              </w:rPr>
            </w:pPr>
            <w:r w:rsidRPr="00564B42">
              <w:rPr>
                <w:b/>
                <w:sz w:val="24"/>
              </w:rPr>
              <w:t>Recommendations</w:t>
            </w:r>
          </w:p>
        </w:tc>
      </w:tr>
      <w:tr w:rsidR="00E20520" w:rsidRPr="00564B42" w14:paraId="6E130474" w14:textId="77777777" w:rsidTr="00E20520">
        <w:trPr>
          <w:trHeight w:val="1108"/>
        </w:trPr>
        <w:tc>
          <w:tcPr>
            <w:tcW w:w="3330" w:type="dxa"/>
          </w:tcPr>
          <w:p w14:paraId="1189B33F" w14:textId="77777777" w:rsidR="00E20520" w:rsidRPr="00564B42" w:rsidRDefault="00E20520" w:rsidP="00BB20DE">
            <w:pPr>
              <w:pStyle w:val="TableParagraph"/>
              <w:spacing w:line="268" w:lineRule="exact"/>
              <w:rPr>
                <w:sz w:val="24"/>
              </w:rPr>
            </w:pPr>
            <w:r w:rsidRPr="00564B42">
              <w:rPr>
                <w:sz w:val="24"/>
              </w:rPr>
              <w:t>- Mucosal candidiasis</w:t>
            </w:r>
          </w:p>
        </w:tc>
        <w:tc>
          <w:tcPr>
            <w:tcW w:w="3409" w:type="dxa"/>
          </w:tcPr>
          <w:p w14:paraId="6AAE309B" w14:textId="77777777" w:rsidR="00E20520" w:rsidRPr="00564B42" w:rsidRDefault="00E20520" w:rsidP="00BB20DE">
            <w:pPr>
              <w:pStyle w:val="TableParagraph"/>
              <w:spacing w:line="268" w:lineRule="exact"/>
              <w:rPr>
                <w:sz w:val="24"/>
              </w:rPr>
            </w:pPr>
            <w:r w:rsidRPr="00564B42">
              <w:rPr>
                <w:sz w:val="24"/>
              </w:rPr>
              <w:t>Initial dose: 6 mg/kg</w:t>
            </w:r>
          </w:p>
          <w:p w14:paraId="378B9768" w14:textId="77777777" w:rsidR="00E20520" w:rsidRPr="00564B42" w:rsidRDefault="00E20520" w:rsidP="00BB20DE">
            <w:pPr>
              <w:pStyle w:val="TableParagraph"/>
              <w:spacing w:before="4"/>
              <w:ind w:left="0"/>
              <w:rPr>
                <w:b/>
                <w:sz w:val="24"/>
              </w:rPr>
            </w:pPr>
          </w:p>
          <w:p w14:paraId="013C363E" w14:textId="77777777" w:rsidR="00E20520" w:rsidRPr="00564B42" w:rsidRDefault="00E20520" w:rsidP="00BB20DE">
            <w:pPr>
              <w:pStyle w:val="TableParagraph"/>
              <w:spacing w:before="1" w:line="270" w:lineRule="atLeast"/>
              <w:ind w:right="528"/>
              <w:rPr>
                <w:sz w:val="24"/>
              </w:rPr>
            </w:pPr>
            <w:r w:rsidRPr="00564B42">
              <w:rPr>
                <w:sz w:val="24"/>
              </w:rPr>
              <w:t>Subsequent dose: 3 mg/kg daily</w:t>
            </w:r>
          </w:p>
        </w:tc>
        <w:tc>
          <w:tcPr>
            <w:tcW w:w="3161" w:type="dxa"/>
          </w:tcPr>
          <w:p w14:paraId="7DF9AA9B" w14:textId="77777777" w:rsidR="00E20520" w:rsidRPr="00564B42" w:rsidRDefault="00E20520" w:rsidP="00BB20DE">
            <w:pPr>
              <w:pStyle w:val="TableParagraph"/>
              <w:ind w:right="97"/>
              <w:jc w:val="both"/>
              <w:rPr>
                <w:sz w:val="24"/>
              </w:rPr>
            </w:pPr>
            <w:r w:rsidRPr="00564B42">
              <w:rPr>
                <w:sz w:val="24"/>
              </w:rPr>
              <w:t>Initial dose may be used on the first day to achieve steady state levels more rapidly</w:t>
            </w:r>
          </w:p>
        </w:tc>
      </w:tr>
      <w:tr w:rsidR="00E20520" w:rsidRPr="00564B42" w14:paraId="400A0B47" w14:textId="77777777" w:rsidTr="00E20520">
        <w:trPr>
          <w:trHeight w:val="832"/>
        </w:trPr>
        <w:tc>
          <w:tcPr>
            <w:tcW w:w="3330" w:type="dxa"/>
          </w:tcPr>
          <w:p w14:paraId="6A9EBD2A" w14:textId="77777777" w:rsidR="00E20520" w:rsidRPr="00564B42" w:rsidRDefault="00E20520" w:rsidP="00E20520">
            <w:pPr>
              <w:pStyle w:val="TableParagraph"/>
              <w:numPr>
                <w:ilvl w:val="0"/>
                <w:numId w:val="6"/>
              </w:numPr>
              <w:tabs>
                <w:tab w:val="left" w:pos="250"/>
              </w:tabs>
              <w:spacing w:line="268" w:lineRule="exact"/>
              <w:ind w:hanging="143"/>
              <w:rPr>
                <w:sz w:val="24"/>
              </w:rPr>
            </w:pPr>
            <w:r w:rsidRPr="00564B42">
              <w:rPr>
                <w:sz w:val="24"/>
              </w:rPr>
              <w:lastRenderedPageBreak/>
              <w:t>Invasive</w:t>
            </w:r>
            <w:r w:rsidRPr="00564B42">
              <w:rPr>
                <w:spacing w:val="-2"/>
                <w:sz w:val="24"/>
              </w:rPr>
              <w:t xml:space="preserve"> </w:t>
            </w:r>
            <w:r w:rsidRPr="00564B42">
              <w:rPr>
                <w:sz w:val="24"/>
              </w:rPr>
              <w:t>candidiasis</w:t>
            </w:r>
          </w:p>
          <w:p w14:paraId="66CBEB2B" w14:textId="77777777" w:rsidR="00E20520" w:rsidRPr="00564B42" w:rsidRDefault="00E20520" w:rsidP="00BB20DE">
            <w:pPr>
              <w:pStyle w:val="TableParagraph"/>
              <w:spacing w:before="4"/>
              <w:ind w:left="0"/>
              <w:rPr>
                <w:b/>
                <w:sz w:val="24"/>
              </w:rPr>
            </w:pPr>
          </w:p>
          <w:p w14:paraId="3809B494" w14:textId="77777777" w:rsidR="00E20520" w:rsidRPr="00564B42" w:rsidRDefault="00E20520" w:rsidP="00E20520">
            <w:pPr>
              <w:pStyle w:val="TableParagraph"/>
              <w:numPr>
                <w:ilvl w:val="0"/>
                <w:numId w:val="6"/>
              </w:numPr>
              <w:tabs>
                <w:tab w:val="left" w:pos="247"/>
              </w:tabs>
              <w:spacing w:before="1" w:line="264" w:lineRule="exact"/>
              <w:ind w:left="247" w:hanging="140"/>
              <w:rPr>
                <w:sz w:val="24"/>
              </w:rPr>
            </w:pPr>
            <w:r w:rsidRPr="00564B42">
              <w:rPr>
                <w:sz w:val="24"/>
              </w:rPr>
              <w:t>Cryptococcal</w:t>
            </w:r>
            <w:r w:rsidRPr="00564B42">
              <w:rPr>
                <w:spacing w:val="-1"/>
                <w:sz w:val="24"/>
              </w:rPr>
              <w:t xml:space="preserve"> </w:t>
            </w:r>
            <w:r w:rsidRPr="00564B42">
              <w:rPr>
                <w:sz w:val="24"/>
              </w:rPr>
              <w:t>meningitis</w:t>
            </w:r>
          </w:p>
        </w:tc>
        <w:tc>
          <w:tcPr>
            <w:tcW w:w="3409" w:type="dxa"/>
          </w:tcPr>
          <w:p w14:paraId="67615114" w14:textId="77777777" w:rsidR="00E20520" w:rsidRPr="00564B42" w:rsidRDefault="00E20520" w:rsidP="00BB20DE">
            <w:pPr>
              <w:pStyle w:val="TableParagraph"/>
              <w:spacing w:line="268" w:lineRule="exact"/>
              <w:rPr>
                <w:sz w:val="24"/>
              </w:rPr>
            </w:pPr>
            <w:r w:rsidRPr="00564B42">
              <w:rPr>
                <w:sz w:val="24"/>
              </w:rPr>
              <w:t>Dose: 6 to 12 mg/kg daily</w:t>
            </w:r>
          </w:p>
        </w:tc>
        <w:tc>
          <w:tcPr>
            <w:tcW w:w="3161" w:type="dxa"/>
          </w:tcPr>
          <w:p w14:paraId="1B7058C4" w14:textId="77777777" w:rsidR="00E20520" w:rsidRPr="00564B42" w:rsidRDefault="00E20520" w:rsidP="00BB20DE">
            <w:pPr>
              <w:pStyle w:val="TableParagraph"/>
              <w:ind w:right="258"/>
              <w:rPr>
                <w:sz w:val="24"/>
              </w:rPr>
            </w:pPr>
            <w:r w:rsidRPr="00564B42">
              <w:rPr>
                <w:sz w:val="24"/>
              </w:rPr>
              <w:t>Depending on the severity of the disease</w:t>
            </w:r>
          </w:p>
        </w:tc>
      </w:tr>
      <w:tr w:rsidR="00E20520" w:rsidRPr="00564B42" w14:paraId="39F5B76B" w14:textId="77777777" w:rsidTr="00E20520">
        <w:trPr>
          <w:trHeight w:val="1379"/>
        </w:trPr>
        <w:tc>
          <w:tcPr>
            <w:tcW w:w="3330" w:type="dxa"/>
          </w:tcPr>
          <w:p w14:paraId="5C5F85D9" w14:textId="77777777" w:rsidR="00E20520" w:rsidRPr="00564B42" w:rsidRDefault="00E20520" w:rsidP="00BB20DE">
            <w:pPr>
              <w:pStyle w:val="TableParagraph"/>
              <w:ind w:right="509"/>
              <w:rPr>
                <w:sz w:val="24"/>
              </w:rPr>
            </w:pPr>
            <w:r w:rsidRPr="00564B42">
              <w:rPr>
                <w:sz w:val="24"/>
              </w:rPr>
              <w:t>- Maintenance therapy to prevent relapse of cryptococcal meningitis in children with high risk of</w:t>
            </w:r>
          </w:p>
          <w:p w14:paraId="579EB49D" w14:textId="77777777" w:rsidR="00E20520" w:rsidRPr="00564B42" w:rsidRDefault="00E20520" w:rsidP="00BB20DE">
            <w:pPr>
              <w:pStyle w:val="TableParagraph"/>
              <w:spacing w:line="264" w:lineRule="exact"/>
              <w:rPr>
                <w:sz w:val="24"/>
              </w:rPr>
            </w:pPr>
            <w:r w:rsidRPr="00564B42">
              <w:rPr>
                <w:sz w:val="24"/>
              </w:rPr>
              <w:t>recurrence</w:t>
            </w:r>
          </w:p>
        </w:tc>
        <w:tc>
          <w:tcPr>
            <w:tcW w:w="3409" w:type="dxa"/>
          </w:tcPr>
          <w:p w14:paraId="7E83E29E" w14:textId="77777777" w:rsidR="00E20520" w:rsidRPr="00564B42" w:rsidRDefault="00E20520" w:rsidP="00BB20DE">
            <w:pPr>
              <w:pStyle w:val="TableParagraph"/>
              <w:spacing w:line="268" w:lineRule="exact"/>
              <w:rPr>
                <w:sz w:val="24"/>
              </w:rPr>
            </w:pPr>
            <w:r w:rsidRPr="00564B42">
              <w:rPr>
                <w:sz w:val="24"/>
              </w:rPr>
              <w:t>Dose: 6 mg/kg daily</w:t>
            </w:r>
          </w:p>
        </w:tc>
        <w:tc>
          <w:tcPr>
            <w:tcW w:w="3161" w:type="dxa"/>
          </w:tcPr>
          <w:p w14:paraId="2499C3B5" w14:textId="77777777" w:rsidR="00E20520" w:rsidRPr="00564B42" w:rsidRDefault="00E20520" w:rsidP="00BB20DE">
            <w:pPr>
              <w:pStyle w:val="TableParagraph"/>
              <w:ind w:right="258"/>
              <w:rPr>
                <w:sz w:val="24"/>
              </w:rPr>
            </w:pPr>
            <w:r w:rsidRPr="00564B42">
              <w:rPr>
                <w:sz w:val="24"/>
              </w:rPr>
              <w:t>Depending on the severity of the disease</w:t>
            </w:r>
          </w:p>
        </w:tc>
      </w:tr>
      <w:tr w:rsidR="00E20520" w:rsidRPr="00564B42" w14:paraId="6435E128" w14:textId="77777777" w:rsidTr="00E20520">
        <w:trPr>
          <w:trHeight w:val="827"/>
        </w:trPr>
        <w:tc>
          <w:tcPr>
            <w:tcW w:w="3330" w:type="dxa"/>
          </w:tcPr>
          <w:p w14:paraId="228A5459" w14:textId="77777777" w:rsidR="00E20520" w:rsidRPr="00564B42" w:rsidRDefault="00E20520" w:rsidP="00BB20DE">
            <w:pPr>
              <w:pStyle w:val="TableParagraph"/>
              <w:ind w:right="142"/>
              <w:rPr>
                <w:sz w:val="24"/>
              </w:rPr>
            </w:pPr>
            <w:r w:rsidRPr="00564B42">
              <w:rPr>
                <w:sz w:val="24"/>
              </w:rPr>
              <w:t xml:space="preserve">- Prophylaxis of </w:t>
            </w:r>
            <w:r w:rsidRPr="00564B42">
              <w:rPr>
                <w:i/>
                <w:sz w:val="24"/>
              </w:rPr>
              <w:t xml:space="preserve">Candida </w:t>
            </w:r>
            <w:r w:rsidRPr="00564B42">
              <w:rPr>
                <w:sz w:val="24"/>
              </w:rPr>
              <w:t>in immunocompromised patients</w:t>
            </w:r>
          </w:p>
        </w:tc>
        <w:tc>
          <w:tcPr>
            <w:tcW w:w="3409" w:type="dxa"/>
          </w:tcPr>
          <w:p w14:paraId="2FD290F5" w14:textId="77777777" w:rsidR="00E20520" w:rsidRPr="00564B42" w:rsidRDefault="00E20520" w:rsidP="00BB20DE">
            <w:pPr>
              <w:pStyle w:val="TableParagraph"/>
              <w:spacing w:line="268" w:lineRule="exact"/>
              <w:rPr>
                <w:sz w:val="24"/>
              </w:rPr>
            </w:pPr>
            <w:r w:rsidRPr="00564B42">
              <w:rPr>
                <w:sz w:val="24"/>
              </w:rPr>
              <w:t>Dose: 3 to 12 mg/kg daily</w:t>
            </w:r>
          </w:p>
        </w:tc>
        <w:tc>
          <w:tcPr>
            <w:tcW w:w="3161" w:type="dxa"/>
          </w:tcPr>
          <w:p w14:paraId="3C0FCA71" w14:textId="77777777" w:rsidR="00E20520" w:rsidRPr="00564B42" w:rsidRDefault="00E20520" w:rsidP="00BB20DE">
            <w:pPr>
              <w:pStyle w:val="TableParagraph"/>
              <w:tabs>
                <w:tab w:val="left" w:pos="1329"/>
                <w:tab w:val="left" w:pos="1950"/>
                <w:tab w:val="left" w:pos="2291"/>
                <w:tab w:val="left" w:pos="2665"/>
              </w:tabs>
              <w:ind w:right="98"/>
              <w:rPr>
                <w:sz w:val="24"/>
              </w:rPr>
            </w:pPr>
            <w:r w:rsidRPr="00564B42">
              <w:rPr>
                <w:sz w:val="24"/>
              </w:rPr>
              <w:t xml:space="preserve">Depending  </w:t>
            </w:r>
            <w:r w:rsidRPr="00564B42">
              <w:rPr>
                <w:spacing w:val="15"/>
                <w:sz w:val="24"/>
              </w:rPr>
              <w:t xml:space="preserve"> </w:t>
            </w:r>
            <w:r w:rsidRPr="00564B42">
              <w:rPr>
                <w:sz w:val="24"/>
              </w:rPr>
              <w:t xml:space="preserve">on  </w:t>
            </w:r>
            <w:r w:rsidRPr="00564B42">
              <w:rPr>
                <w:spacing w:val="19"/>
                <w:sz w:val="24"/>
              </w:rPr>
              <w:t xml:space="preserve"> </w:t>
            </w:r>
            <w:r w:rsidRPr="00564B42">
              <w:rPr>
                <w:sz w:val="24"/>
              </w:rPr>
              <w:t>the</w:t>
            </w:r>
            <w:r w:rsidRPr="00564B42">
              <w:rPr>
                <w:sz w:val="24"/>
              </w:rPr>
              <w:tab/>
              <w:t xml:space="preserve">extent </w:t>
            </w:r>
            <w:r w:rsidRPr="00564B42">
              <w:rPr>
                <w:spacing w:val="-6"/>
                <w:sz w:val="24"/>
              </w:rPr>
              <w:t xml:space="preserve">and </w:t>
            </w:r>
            <w:r w:rsidRPr="00564B42">
              <w:rPr>
                <w:sz w:val="24"/>
              </w:rPr>
              <w:t>duration</w:t>
            </w:r>
            <w:r w:rsidRPr="00564B42">
              <w:rPr>
                <w:sz w:val="24"/>
              </w:rPr>
              <w:tab/>
              <w:t>of</w:t>
            </w:r>
            <w:r w:rsidRPr="00564B42">
              <w:rPr>
                <w:sz w:val="24"/>
              </w:rPr>
              <w:tab/>
              <w:t>the</w:t>
            </w:r>
            <w:r w:rsidRPr="00564B42">
              <w:rPr>
                <w:sz w:val="24"/>
              </w:rPr>
              <w:tab/>
            </w:r>
            <w:r w:rsidRPr="00564B42">
              <w:rPr>
                <w:sz w:val="24"/>
              </w:rPr>
              <w:tab/>
            </w:r>
            <w:r w:rsidRPr="00564B42">
              <w:rPr>
                <w:spacing w:val="-4"/>
                <w:sz w:val="24"/>
              </w:rPr>
              <w:t>induced</w:t>
            </w:r>
          </w:p>
          <w:p w14:paraId="44D616CF" w14:textId="77777777" w:rsidR="00E20520" w:rsidRPr="00564B42" w:rsidRDefault="00E20520" w:rsidP="00BB20DE">
            <w:pPr>
              <w:pStyle w:val="TableParagraph"/>
              <w:spacing w:line="264" w:lineRule="exact"/>
              <w:rPr>
                <w:sz w:val="24"/>
              </w:rPr>
            </w:pPr>
            <w:r w:rsidRPr="00564B42">
              <w:rPr>
                <w:sz w:val="24"/>
              </w:rPr>
              <w:t>neutropenia</w:t>
            </w:r>
          </w:p>
        </w:tc>
      </w:tr>
    </w:tbl>
    <w:p w14:paraId="1F82F4B8" w14:textId="77777777" w:rsidR="00E20520" w:rsidRPr="008131B7" w:rsidRDefault="00E20520" w:rsidP="00E20520">
      <w:pPr>
        <w:pStyle w:val="BodyText"/>
        <w:spacing w:line="360" w:lineRule="auto"/>
        <w:ind w:left="-270" w:right="27"/>
        <w:jc w:val="both"/>
        <w:rPr>
          <w:rFonts w:ascii="Times New Roman" w:hAnsi="Times New Roman" w:cs="Times New Roman"/>
          <w:sz w:val="2"/>
          <w:szCs w:val="2"/>
        </w:rPr>
      </w:pPr>
    </w:p>
    <w:p w14:paraId="11F095C0" w14:textId="77777777" w:rsidR="00E20520" w:rsidRPr="00564B42" w:rsidRDefault="00E20520" w:rsidP="00564B42">
      <w:pPr>
        <w:pStyle w:val="BodyText"/>
        <w:tabs>
          <w:tab w:val="left" w:pos="8190"/>
        </w:tabs>
        <w:spacing w:before="90" w:line="360" w:lineRule="auto"/>
        <w:ind w:left="-18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Adolescents (from 12 to 17 years old): </w:t>
      </w:r>
      <w:r w:rsidRPr="00564B42">
        <w:rPr>
          <w:rFonts w:ascii="Times New Roman" w:hAnsi="Times New Roman" w:cs="Times New Roman"/>
          <w:sz w:val="24"/>
          <w:szCs w:val="24"/>
        </w:rPr>
        <w:t>Depending on the weight and pubertal development, the prescriber would need to assess which posology (adults or children) is the most appropriate. Clinical data indicate that children have a higher fluconazole clearance than observed for adults. A dose of 100, 200 and 400 mg in adults corresponds to a 3, 6 and 12 mg/kg dose in children to obtain a comparable systemic exposure.</w:t>
      </w:r>
    </w:p>
    <w:p w14:paraId="55AD92BB" w14:textId="77777777" w:rsidR="00E20520" w:rsidRPr="00564B42" w:rsidRDefault="00E20520" w:rsidP="00564B42">
      <w:pPr>
        <w:pStyle w:val="BodyText"/>
        <w:tabs>
          <w:tab w:val="left" w:pos="8190"/>
        </w:tabs>
        <w:spacing w:line="360" w:lineRule="auto"/>
        <w:ind w:left="-180" w:right="-333"/>
        <w:jc w:val="both"/>
        <w:rPr>
          <w:rFonts w:ascii="Times New Roman" w:hAnsi="Times New Roman" w:cs="Times New Roman"/>
          <w:sz w:val="24"/>
          <w:szCs w:val="24"/>
        </w:rPr>
      </w:pPr>
      <w:r w:rsidRPr="00564B42">
        <w:rPr>
          <w:rFonts w:ascii="Times New Roman" w:hAnsi="Times New Roman" w:cs="Times New Roman"/>
          <w:sz w:val="24"/>
          <w:szCs w:val="24"/>
        </w:rPr>
        <w:t>Safety and efficacy for genital candidiasis indication in paediatric population has not been established. Current available safety data for other paediatric indications. If treatment for genital candidiasis is imperative in adolescents (from 12 to 17 years old), the posology should be the same as adults posology</w:t>
      </w:r>
    </w:p>
    <w:p w14:paraId="65C41958" w14:textId="105721D4" w:rsidR="00E20520" w:rsidRPr="00564B42" w:rsidRDefault="00E20520" w:rsidP="00E20520">
      <w:pPr>
        <w:pStyle w:val="Heading1"/>
        <w:tabs>
          <w:tab w:val="left" w:pos="8190"/>
        </w:tabs>
        <w:spacing w:before="2"/>
        <w:ind w:left="-180" w:right="27"/>
        <w:jc w:val="both"/>
      </w:pPr>
      <w:r w:rsidRPr="00564B42">
        <w:t>Term newborn infants (0 to 27 days):</w:t>
      </w:r>
    </w:p>
    <w:p w14:paraId="2F0D3A88" w14:textId="77777777" w:rsidR="00E20520" w:rsidRPr="00564B42" w:rsidRDefault="00E20520" w:rsidP="00E20520">
      <w:pPr>
        <w:pStyle w:val="BodyText"/>
        <w:tabs>
          <w:tab w:val="left" w:pos="8190"/>
        </w:tabs>
        <w:spacing w:line="360" w:lineRule="auto"/>
        <w:ind w:left="-180" w:right="27"/>
        <w:jc w:val="both"/>
        <w:rPr>
          <w:rFonts w:ascii="Times New Roman" w:hAnsi="Times New Roman" w:cs="Times New Roman"/>
          <w:sz w:val="24"/>
          <w:szCs w:val="24"/>
        </w:rPr>
      </w:pPr>
      <w:r w:rsidRPr="00564B42">
        <w:rPr>
          <w:rFonts w:ascii="Times New Roman" w:hAnsi="Times New Roman" w:cs="Times New Roman"/>
          <w:sz w:val="24"/>
          <w:szCs w:val="24"/>
        </w:rPr>
        <w:t>Neonates excrete fluconazole slowly. There are few pharmacokinetic data to support this posology in term newborn infants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E20520" w:rsidRPr="00564B42" w14:paraId="28F98568" w14:textId="77777777" w:rsidTr="00E20520">
        <w:trPr>
          <w:trHeight w:val="412"/>
        </w:trPr>
        <w:tc>
          <w:tcPr>
            <w:tcW w:w="3192" w:type="dxa"/>
          </w:tcPr>
          <w:p w14:paraId="34B326DC" w14:textId="77777777" w:rsidR="00E20520" w:rsidRPr="00564B42" w:rsidRDefault="00E20520" w:rsidP="00BB20DE">
            <w:pPr>
              <w:pStyle w:val="TableParagraph"/>
              <w:spacing w:line="275" w:lineRule="exact"/>
              <w:ind w:left="1058"/>
              <w:rPr>
                <w:b/>
                <w:sz w:val="24"/>
              </w:rPr>
            </w:pPr>
            <w:r w:rsidRPr="00564B42">
              <w:rPr>
                <w:b/>
                <w:sz w:val="24"/>
              </w:rPr>
              <w:t>Age group</w:t>
            </w:r>
          </w:p>
        </w:tc>
        <w:tc>
          <w:tcPr>
            <w:tcW w:w="3192" w:type="dxa"/>
          </w:tcPr>
          <w:p w14:paraId="57E6A860" w14:textId="77777777" w:rsidR="00E20520" w:rsidRPr="00564B42" w:rsidRDefault="00E20520" w:rsidP="00BB20DE">
            <w:pPr>
              <w:pStyle w:val="TableParagraph"/>
              <w:spacing w:line="275" w:lineRule="exact"/>
              <w:ind w:left="1121" w:right="1114"/>
              <w:jc w:val="center"/>
              <w:rPr>
                <w:b/>
                <w:sz w:val="24"/>
              </w:rPr>
            </w:pPr>
            <w:r w:rsidRPr="00564B42">
              <w:rPr>
                <w:b/>
                <w:sz w:val="24"/>
              </w:rPr>
              <w:t>Posology</w:t>
            </w:r>
          </w:p>
        </w:tc>
        <w:tc>
          <w:tcPr>
            <w:tcW w:w="3192" w:type="dxa"/>
          </w:tcPr>
          <w:p w14:paraId="46D65EA4" w14:textId="77777777" w:rsidR="00E20520" w:rsidRPr="00564B42" w:rsidRDefault="00E20520" w:rsidP="00BB20DE">
            <w:pPr>
              <w:pStyle w:val="TableParagraph"/>
              <w:spacing w:line="275" w:lineRule="exact"/>
              <w:ind w:left="647"/>
              <w:rPr>
                <w:b/>
                <w:sz w:val="24"/>
              </w:rPr>
            </w:pPr>
            <w:r w:rsidRPr="00564B42">
              <w:rPr>
                <w:b/>
                <w:sz w:val="24"/>
              </w:rPr>
              <w:t>Recommendations</w:t>
            </w:r>
          </w:p>
        </w:tc>
      </w:tr>
      <w:tr w:rsidR="00E20520" w:rsidRPr="00564B42" w14:paraId="0FB32390" w14:textId="77777777" w:rsidTr="00E20520">
        <w:trPr>
          <w:trHeight w:val="1103"/>
        </w:trPr>
        <w:tc>
          <w:tcPr>
            <w:tcW w:w="3192" w:type="dxa"/>
          </w:tcPr>
          <w:p w14:paraId="077FB9BB" w14:textId="77777777" w:rsidR="00E20520" w:rsidRPr="00564B42" w:rsidRDefault="00E20520" w:rsidP="00BB20DE">
            <w:pPr>
              <w:pStyle w:val="TableParagraph"/>
              <w:ind w:right="115"/>
              <w:rPr>
                <w:sz w:val="24"/>
              </w:rPr>
            </w:pPr>
            <w:r w:rsidRPr="00564B42">
              <w:rPr>
                <w:sz w:val="24"/>
              </w:rPr>
              <w:t>Term newborn infants (0 to 14 days)</w:t>
            </w:r>
          </w:p>
        </w:tc>
        <w:tc>
          <w:tcPr>
            <w:tcW w:w="3192" w:type="dxa"/>
          </w:tcPr>
          <w:p w14:paraId="4A04F155" w14:textId="77777777" w:rsidR="00E20520" w:rsidRPr="00564B42" w:rsidRDefault="00E20520" w:rsidP="00BB20DE">
            <w:pPr>
              <w:pStyle w:val="TableParagraph"/>
              <w:ind w:right="255"/>
              <w:rPr>
                <w:sz w:val="24"/>
              </w:rPr>
            </w:pPr>
            <w:r w:rsidRPr="00564B42">
              <w:rPr>
                <w:sz w:val="24"/>
              </w:rPr>
              <w:t>The same mg/kg dose as for infants, toddlers and children</w:t>
            </w:r>
          </w:p>
          <w:p w14:paraId="3AAB1EC6" w14:textId="77777777" w:rsidR="00E20520" w:rsidRPr="00564B42" w:rsidRDefault="00E20520" w:rsidP="00BB20DE">
            <w:pPr>
              <w:pStyle w:val="TableParagraph"/>
              <w:spacing w:line="276" w:lineRule="exact"/>
              <w:ind w:right="642"/>
              <w:rPr>
                <w:sz w:val="24"/>
              </w:rPr>
            </w:pPr>
            <w:r w:rsidRPr="00564B42">
              <w:rPr>
                <w:sz w:val="24"/>
              </w:rPr>
              <w:t>should be given every 72 hours</w:t>
            </w:r>
          </w:p>
        </w:tc>
        <w:tc>
          <w:tcPr>
            <w:tcW w:w="3192" w:type="dxa"/>
          </w:tcPr>
          <w:p w14:paraId="51C8640D" w14:textId="77777777" w:rsidR="00E20520" w:rsidRPr="00564B42" w:rsidRDefault="00E20520" w:rsidP="00BB20DE">
            <w:pPr>
              <w:pStyle w:val="TableParagraph"/>
              <w:ind w:right="115"/>
              <w:rPr>
                <w:sz w:val="24"/>
              </w:rPr>
            </w:pPr>
            <w:r w:rsidRPr="00564B42">
              <w:rPr>
                <w:sz w:val="24"/>
              </w:rPr>
              <w:t>A maximum dose of 12 mg/kg every 72 hours should not be exceeded</w:t>
            </w:r>
          </w:p>
        </w:tc>
      </w:tr>
      <w:tr w:rsidR="00E20520" w:rsidRPr="00564B42" w14:paraId="73F54E92" w14:textId="77777777" w:rsidTr="00E20520">
        <w:trPr>
          <w:trHeight w:val="1106"/>
        </w:trPr>
        <w:tc>
          <w:tcPr>
            <w:tcW w:w="3192" w:type="dxa"/>
          </w:tcPr>
          <w:p w14:paraId="666800CF" w14:textId="77777777" w:rsidR="00E20520" w:rsidRPr="00564B42" w:rsidRDefault="00E20520" w:rsidP="00BB20DE">
            <w:pPr>
              <w:pStyle w:val="TableParagraph"/>
              <w:ind w:right="315"/>
              <w:rPr>
                <w:sz w:val="24"/>
              </w:rPr>
            </w:pPr>
            <w:r w:rsidRPr="00564B42">
              <w:rPr>
                <w:sz w:val="24"/>
              </w:rPr>
              <w:t>Term newborn infants (from 15 to 27 days)</w:t>
            </w:r>
          </w:p>
        </w:tc>
        <w:tc>
          <w:tcPr>
            <w:tcW w:w="3192" w:type="dxa"/>
          </w:tcPr>
          <w:p w14:paraId="3EF3F990" w14:textId="77777777" w:rsidR="00E20520" w:rsidRPr="00564B42" w:rsidRDefault="00E20520" w:rsidP="00BB20DE">
            <w:pPr>
              <w:pStyle w:val="TableParagraph"/>
              <w:ind w:right="255"/>
              <w:rPr>
                <w:sz w:val="24"/>
              </w:rPr>
            </w:pPr>
            <w:r w:rsidRPr="00564B42">
              <w:rPr>
                <w:sz w:val="24"/>
              </w:rPr>
              <w:t>The same mg/kg dose as for infants, toddlers and children should be given every 48</w:t>
            </w:r>
          </w:p>
          <w:p w14:paraId="30B9E686" w14:textId="77777777" w:rsidR="00E20520" w:rsidRPr="00564B42" w:rsidRDefault="00E20520" w:rsidP="00BB20DE">
            <w:pPr>
              <w:pStyle w:val="TableParagraph"/>
              <w:spacing w:line="264" w:lineRule="exact"/>
              <w:rPr>
                <w:sz w:val="24"/>
              </w:rPr>
            </w:pPr>
            <w:r w:rsidRPr="00564B42">
              <w:rPr>
                <w:sz w:val="24"/>
              </w:rPr>
              <w:t>hours</w:t>
            </w:r>
          </w:p>
        </w:tc>
        <w:tc>
          <w:tcPr>
            <w:tcW w:w="3192" w:type="dxa"/>
          </w:tcPr>
          <w:p w14:paraId="66CD7B05" w14:textId="77777777" w:rsidR="00E20520" w:rsidRPr="00564B42" w:rsidRDefault="00E20520" w:rsidP="00BB20DE">
            <w:pPr>
              <w:pStyle w:val="TableParagraph"/>
              <w:ind w:right="115"/>
              <w:rPr>
                <w:sz w:val="24"/>
              </w:rPr>
            </w:pPr>
            <w:r w:rsidRPr="00564B42">
              <w:rPr>
                <w:sz w:val="24"/>
              </w:rPr>
              <w:t>A maximum dose of 12 mg/kg every 48 hours should not be exceeded</w:t>
            </w:r>
          </w:p>
        </w:tc>
      </w:tr>
    </w:tbl>
    <w:p w14:paraId="684CF9A0" w14:textId="77777777" w:rsidR="008131B7" w:rsidRPr="008131B7" w:rsidRDefault="008131B7" w:rsidP="008131B7">
      <w:pPr>
        <w:pStyle w:val="BodyText"/>
        <w:tabs>
          <w:tab w:val="left" w:pos="8190"/>
        </w:tabs>
        <w:spacing w:line="240" w:lineRule="auto"/>
        <w:ind w:left="-180" w:right="27" w:hanging="180"/>
        <w:rPr>
          <w:rFonts w:ascii="Times New Roman" w:hAnsi="Times New Roman" w:cs="Times New Roman"/>
          <w:b/>
          <w:sz w:val="4"/>
          <w:szCs w:val="4"/>
        </w:rPr>
      </w:pPr>
    </w:p>
    <w:p w14:paraId="268955CC" w14:textId="4C0EA140" w:rsidR="00E20520" w:rsidRPr="00564B42" w:rsidRDefault="00E20520" w:rsidP="008131B7">
      <w:pPr>
        <w:pStyle w:val="BodyText"/>
        <w:tabs>
          <w:tab w:val="left" w:pos="8190"/>
        </w:tabs>
        <w:spacing w:line="240" w:lineRule="auto"/>
        <w:ind w:left="-180" w:right="27" w:hanging="180"/>
        <w:rPr>
          <w:rFonts w:ascii="Times New Roman" w:hAnsi="Times New Roman" w:cs="Times New Roman"/>
          <w:b/>
          <w:sz w:val="24"/>
          <w:szCs w:val="24"/>
        </w:rPr>
      </w:pPr>
      <w:r w:rsidRPr="00564B42">
        <w:rPr>
          <w:rFonts w:ascii="Times New Roman" w:hAnsi="Times New Roman" w:cs="Times New Roman"/>
          <w:b/>
          <w:sz w:val="24"/>
          <w:szCs w:val="24"/>
        </w:rPr>
        <w:t>Method of administration</w:t>
      </w:r>
    </w:p>
    <w:p w14:paraId="5D14F311" w14:textId="2E125F3F" w:rsidR="00224A2E" w:rsidRDefault="00E20520" w:rsidP="008131B7">
      <w:pPr>
        <w:pStyle w:val="BodyText"/>
        <w:tabs>
          <w:tab w:val="left" w:pos="8190"/>
        </w:tabs>
        <w:spacing w:line="240" w:lineRule="auto"/>
        <w:ind w:left="-180" w:right="27" w:hanging="180"/>
        <w:rPr>
          <w:rFonts w:ascii="Times New Roman" w:hAnsi="Times New Roman" w:cs="Times New Roman"/>
          <w:sz w:val="24"/>
          <w:szCs w:val="24"/>
        </w:rPr>
      </w:pPr>
      <w:r w:rsidRPr="00564B42">
        <w:rPr>
          <w:rFonts w:ascii="Times New Roman" w:hAnsi="Times New Roman" w:cs="Times New Roman"/>
          <w:sz w:val="24"/>
          <w:szCs w:val="24"/>
        </w:rPr>
        <w:t>The capsules should be swallowed whole and independent of food intake</w:t>
      </w:r>
      <w:r w:rsidR="008131B7">
        <w:rPr>
          <w:rFonts w:ascii="Times New Roman" w:hAnsi="Times New Roman" w:cs="Times New Roman"/>
          <w:sz w:val="24"/>
          <w:szCs w:val="24"/>
        </w:rPr>
        <w:t>.</w:t>
      </w:r>
    </w:p>
    <w:p w14:paraId="11DCCDA7" w14:textId="77777777" w:rsidR="008131B7" w:rsidRPr="00564B42" w:rsidRDefault="008131B7" w:rsidP="008131B7">
      <w:pPr>
        <w:pStyle w:val="BodyText"/>
        <w:tabs>
          <w:tab w:val="left" w:pos="8190"/>
        </w:tabs>
        <w:spacing w:line="240" w:lineRule="auto"/>
        <w:ind w:left="-180" w:right="27" w:hanging="180"/>
        <w:rPr>
          <w:rFonts w:ascii="Times New Roman" w:hAnsi="Times New Roman" w:cs="Times New Roman"/>
          <w:sz w:val="24"/>
          <w:szCs w:val="24"/>
        </w:rPr>
      </w:pPr>
    </w:p>
    <w:p w14:paraId="29863F4D" w14:textId="77777777" w:rsidR="00B7586C" w:rsidRPr="00564B42" w:rsidRDefault="00B7586C" w:rsidP="00C839BE">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lastRenderedPageBreak/>
        <w:t>4.3 Contraindications</w:t>
      </w:r>
    </w:p>
    <w:p w14:paraId="187FDC1C" w14:textId="3171B4FD" w:rsidR="00940EE0" w:rsidRPr="00564B42" w:rsidRDefault="00E20520" w:rsidP="00EB59B6">
      <w:pPr>
        <w:autoSpaceDE w:val="0"/>
        <w:autoSpaceDN w:val="0"/>
        <w:adjustRightInd w:val="0"/>
        <w:ind w:left="-360" w:right="-333"/>
        <w:jc w:val="both"/>
        <w:rPr>
          <w:rFonts w:ascii="Times New Roman" w:eastAsia="Times New Roman" w:hAnsi="Times New Roman" w:cs="Times New Roman"/>
          <w:sz w:val="24"/>
          <w:szCs w:val="24"/>
        </w:rPr>
      </w:pPr>
      <w:r w:rsidRPr="00564B42">
        <w:rPr>
          <w:rFonts w:ascii="Times New Roman" w:hAnsi="Times New Roman" w:cs="Times New Roman"/>
          <w:sz w:val="24"/>
          <w:szCs w:val="24"/>
          <w:shd w:val="clear" w:color="auto" w:fill="FFFFFF"/>
        </w:rPr>
        <w:t>Hypersensitivity to the active substance, to related azole substances, or to any of the excipients Coadministration of terfenadine is contraindicated in patients receiving Fluconazole capsules at multiple doses of 400 mg per day or higher based upon results of a multiple dose interaction study. Coadministration of other medicinal products known to prolong the QT interval and which are metabolised via the cytochrome P450 (CYP) 3A4 such as cisapride, astemizole, pimozide, quinidine and erythromycin are contraindicated in patients receiving fluconazole.</w:t>
      </w:r>
    </w:p>
    <w:p w14:paraId="487FA0CC" w14:textId="77777777" w:rsidR="00B7586C" w:rsidRPr="00564B42" w:rsidRDefault="00B7586C" w:rsidP="00C839BE">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4.4 Special warnings and precautions for use</w:t>
      </w:r>
    </w:p>
    <w:p w14:paraId="64ED6914" w14:textId="77777777" w:rsidR="00E20520" w:rsidRPr="00564B42" w:rsidRDefault="00E20520" w:rsidP="00BB20DE">
      <w:pPr>
        <w:pStyle w:val="BodyText"/>
        <w:spacing w:before="134" w:line="240" w:lineRule="auto"/>
        <w:ind w:left="-360" w:right="-333"/>
        <w:jc w:val="both"/>
        <w:rPr>
          <w:rFonts w:ascii="Times New Roman" w:hAnsi="Times New Roman" w:cs="Times New Roman"/>
          <w:i/>
          <w:sz w:val="24"/>
          <w:szCs w:val="24"/>
        </w:rPr>
      </w:pPr>
      <w:r w:rsidRPr="00564B42">
        <w:rPr>
          <w:rFonts w:ascii="Times New Roman" w:hAnsi="Times New Roman" w:cs="Times New Roman"/>
          <w:b/>
          <w:sz w:val="24"/>
          <w:szCs w:val="24"/>
        </w:rPr>
        <w:t xml:space="preserve">Tinea capitis: </w:t>
      </w:r>
      <w:r w:rsidRPr="00564B42">
        <w:rPr>
          <w:rFonts w:ascii="Times New Roman" w:hAnsi="Times New Roman" w:cs="Times New Roman"/>
          <w:sz w:val="24"/>
          <w:szCs w:val="24"/>
        </w:rPr>
        <w:t xml:space="preserve">Fluconazole has been studied for treatment of </w:t>
      </w:r>
      <w:r w:rsidRPr="00564B42">
        <w:rPr>
          <w:rFonts w:ascii="Times New Roman" w:hAnsi="Times New Roman" w:cs="Times New Roman"/>
          <w:i/>
          <w:sz w:val="24"/>
          <w:szCs w:val="24"/>
        </w:rPr>
        <w:t xml:space="preserve">tinea capitis </w:t>
      </w:r>
      <w:r w:rsidRPr="00564B42">
        <w:rPr>
          <w:rFonts w:ascii="Times New Roman" w:hAnsi="Times New Roman" w:cs="Times New Roman"/>
          <w:sz w:val="24"/>
          <w:szCs w:val="24"/>
        </w:rPr>
        <w:t xml:space="preserve">in children. It was shown not to be superior to griseofulvin and the overall success rate was less than 20%. Therefore, Fluconazole capsules should not be used for </w:t>
      </w:r>
      <w:r w:rsidRPr="00564B42">
        <w:rPr>
          <w:rFonts w:ascii="Times New Roman" w:hAnsi="Times New Roman" w:cs="Times New Roman"/>
          <w:i/>
          <w:sz w:val="24"/>
          <w:szCs w:val="24"/>
        </w:rPr>
        <w:t>tinea capitis.</w:t>
      </w:r>
    </w:p>
    <w:p w14:paraId="02E51FC0" w14:textId="77777777" w:rsidR="00E20520" w:rsidRPr="00564B42" w:rsidRDefault="00E20520" w:rsidP="00BB20DE">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Cryptococcosis: </w:t>
      </w:r>
      <w:r w:rsidRPr="00564B42">
        <w:rPr>
          <w:rFonts w:ascii="Times New Roman" w:hAnsi="Times New Roman" w:cs="Times New Roman"/>
          <w:sz w:val="24"/>
          <w:szCs w:val="24"/>
        </w:rPr>
        <w:t>The evidence for efficacy of fluconazole in the treatment of cryptococcosis of other sites (e.g. pulmonary and cutaneous cryptococcosis) is limited, which prevents dosing recommendations.</w:t>
      </w:r>
    </w:p>
    <w:p w14:paraId="2AFFC96A" w14:textId="77777777" w:rsidR="00E20520" w:rsidRPr="00564B42" w:rsidRDefault="00E20520" w:rsidP="00BB20DE">
      <w:pPr>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Deep endemic mycoses: </w:t>
      </w:r>
      <w:r w:rsidRPr="00564B42">
        <w:rPr>
          <w:rFonts w:ascii="Times New Roman" w:hAnsi="Times New Roman" w:cs="Times New Roman"/>
          <w:sz w:val="24"/>
          <w:szCs w:val="24"/>
        </w:rPr>
        <w:t xml:space="preserve">The evidence for efficacy of fluconazole in the treatment of other forms of endemic mycoses such as </w:t>
      </w:r>
      <w:r w:rsidRPr="00564B42">
        <w:rPr>
          <w:rFonts w:ascii="Times New Roman" w:hAnsi="Times New Roman" w:cs="Times New Roman"/>
          <w:i/>
          <w:sz w:val="24"/>
          <w:szCs w:val="24"/>
        </w:rPr>
        <w:t xml:space="preserve">paracoccidioidomycosis, lymphocutaneous sporotrichosis </w:t>
      </w:r>
      <w:r w:rsidRPr="00564B42">
        <w:rPr>
          <w:rFonts w:ascii="Times New Roman" w:hAnsi="Times New Roman" w:cs="Times New Roman"/>
          <w:sz w:val="24"/>
          <w:szCs w:val="24"/>
        </w:rPr>
        <w:t xml:space="preserve">and </w:t>
      </w:r>
      <w:r w:rsidRPr="00564B42">
        <w:rPr>
          <w:rFonts w:ascii="Times New Roman" w:hAnsi="Times New Roman" w:cs="Times New Roman"/>
          <w:i/>
          <w:sz w:val="24"/>
          <w:szCs w:val="24"/>
        </w:rPr>
        <w:t xml:space="preserve">histoplasmosis </w:t>
      </w:r>
      <w:r w:rsidRPr="00564B42">
        <w:rPr>
          <w:rFonts w:ascii="Times New Roman" w:hAnsi="Times New Roman" w:cs="Times New Roman"/>
          <w:sz w:val="24"/>
          <w:szCs w:val="24"/>
        </w:rPr>
        <w:t>is limited, which prevents specific dosing</w:t>
      </w:r>
      <w:r w:rsidRPr="00564B42">
        <w:rPr>
          <w:rFonts w:ascii="Times New Roman" w:hAnsi="Times New Roman" w:cs="Times New Roman"/>
          <w:spacing w:val="-7"/>
          <w:sz w:val="24"/>
          <w:szCs w:val="24"/>
        </w:rPr>
        <w:t xml:space="preserve"> </w:t>
      </w:r>
      <w:r w:rsidRPr="00564B42">
        <w:rPr>
          <w:rFonts w:ascii="Times New Roman" w:hAnsi="Times New Roman" w:cs="Times New Roman"/>
          <w:sz w:val="24"/>
          <w:szCs w:val="24"/>
        </w:rPr>
        <w:t>recommendations.</w:t>
      </w:r>
    </w:p>
    <w:p w14:paraId="31DEB7FC" w14:textId="77777777" w:rsidR="00E20520" w:rsidRPr="00564B42" w:rsidRDefault="00E20520" w:rsidP="00BB20DE">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Renal system: </w:t>
      </w:r>
      <w:r w:rsidRPr="00564B42">
        <w:rPr>
          <w:rFonts w:ascii="Times New Roman" w:hAnsi="Times New Roman" w:cs="Times New Roman"/>
          <w:sz w:val="24"/>
          <w:szCs w:val="24"/>
        </w:rPr>
        <w:t>Fluconazole capsules should be administered with caution to patients with renal dysfunction.</w:t>
      </w:r>
    </w:p>
    <w:p w14:paraId="48450C2C" w14:textId="77777777" w:rsidR="00E20520" w:rsidRPr="00564B42" w:rsidRDefault="00E20520" w:rsidP="00BB20DE">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Adrenal insufficiency: </w:t>
      </w:r>
      <w:r w:rsidRPr="00564B42">
        <w:rPr>
          <w:rFonts w:ascii="Times New Roman" w:hAnsi="Times New Roman" w:cs="Times New Roman"/>
          <w:sz w:val="24"/>
          <w:szCs w:val="24"/>
        </w:rPr>
        <w:t>Ketoconazole is known to cause adrenal insufficiency, and this could also although rarely seen be applicable to fluconazole. Adrenal insufficiency relating to concomitant treatment with</w:t>
      </w:r>
      <w:r w:rsidRPr="00564B42">
        <w:rPr>
          <w:rFonts w:ascii="Times New Roman" w:hAnsi="Times New Roman" w:cs="Times New Roman"/>
          <w:spacing w:val="-1"/>
          <w:sz w:val="24"/>
          <w:szCs w:val="24"/>
        </w:rPr>
        <w:t xml:space="preserve"> </w:t>
      </w:r>
      <w:r w:rsidRPr="00564B42">
        <w:rPr>
          <w:rFonts w:ascii="Times New Roman" w:hAnsi="Times New Roman" w:cs="Times New Roman"/>
          <w:sz w:val="24"/>
          <w:szCs w:val="24"/>
        </w:rPr>
        <w:t>prednisone.</w:t>
      </w:r>
    </w:p>
    <w:p w14:paraId="1BF0D4B8" w14:textId="77777777" w:rsidR="00E20520" w:rsidRPr="00564B42" w:rsidRDefault="00E20520" w:rsidP="00BB20DE">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Hepatobiliary system: </w:t>
      </w:r>
      <w:r w:rsidRPr="00564B42">
        <w:rPr>
          <w:rFonts w:ascii="Times New Roman" w:hAnsi="Times New Roman" w:cs="Times New Roman"/>
          <w:sz w:val="24"/>
          <w:szCs w:val="24"/>
        </w:rPr>
        <w:t>Fluconazole capsules should be administered with caution to patients with liver dysfunction.</w:t>
      </w:r>
    </w:p>
    <w:p w14:paraId="011D5D6E" w14:textId="77777777" w:rsidR="00E20520" w:rsidRPr="00564B42" w:rsidRDefault="00E20520" w:rsidP="00BB20DE">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 xml:space="preserve">Fluconazole capsules have been associated with rare cases of serious hepatic toxicity including fatalities, primarily in patients with serious underlying medical conditions. </w:t>
      </w:r>
      <w:r w:rsidRPr="00564B42">
        <w:rPr>
          <w:rFonts w:ascii="Times New Roman" w:hAnsi="Times New Roman" w:cs="Times New Roman"/>
          <w:spacing w:val="-3"/>
          <w:sz w:val="24"/>
          <w:szCs w:val="24"/>
        </w:rPr>
        <w:t xml:space="preserve">In </w:t>
      </w:r>
      <w:r w:rsidRPr="00564B42">
        <w:rPr>
          <w:rFonts w:ascii="Times New Roman" w:hAnsi="Times New Roman" w:cs="Times New Roman"/>
          <w:sz w:val="24"/>
          <w:szCs w:val="24"/>
        </w:rPr>
        <w:t>cases of fluconazole associated hepatotoxicity, no obvious relationship to total daily dose, duration of therapy, sex or age of patient has been observed. Fluconazole hepatotoxicity has usually been reversible on discontinuation of</w:t>
      </w:r>
      <w:r w:rsidRPr="00564B42">
        <w:rPr>
          <w:rFonts w:ascii="Times New Roman" w:hAnsi="Times New Roman" w:cs="Times New Roman"/>
          <w:spacing w:val="-3"/>
          <w:sz w:val="24"/>
          <w:szCs w:val="24"/>
        </w:rPr>
        <w:t xml:space="preserve"> </w:t>
      </w:r>
      <w:r w:rsidRPr="00564B42">
        <w:rPr>
          <w:rFonts w:ascii="Times New Roman" w:hAnsi="Times New Roman" w:cs="Times New Roman"/>
          <w:sz w:val="24"/>
          <w:szCs w:val="24"/>
        </w:rPr>
        <w:t>therapy.</w:t>
      </w:r>
    </w:p>
    <w:p w14:paraId="5E95FC7B" w14:textId="77777777" w:rsidR="00E20520" w:rsidRPr="00564B42" w:rsidRDefault="00E20520" w:rsidP="00BB20DE">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Patients who develop abnormal liver function tests during fluconazole therapy must be monitored closely for the development of more serious hepatic</w:t>
      </w:r>
      <w:r w:rsidRPr="00564B42">
        <w:rPr>
          <w:rFonts w:ascii="Times New Roman" w:hAnsi="Times New Roman" w:cs="Times New Roman"/>
          <w:spacing w:val="-8"/>
          <w:sz w:val="24"/>
          <w:szCs w:val="24"/>
        </w:rPr>
        <w:t xml:space="preserve"> </w:t>
      </w:r>
      <w:r w:rsidRPr="00564B42">
        <w:rPr>
          <w:rFonts w:ascii="Times New Roman" w:hAnsi="Times New Roman" w:cs="Times New Roman"/>
          <w:sz w:val="24"/>
          <w:szCs w:val="24"/>
        </w:rPr>
        <w:t>injury.</w:t>
      </w:r>
    </w:p>
    <w:p w14:paraId="3B03EB61" w14:textId="77777777" w:rsidR="00E20520" w:rsidRPr="00564B42" w:rsidRDefault="00E20520" w:rsidP="00BB20DE">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The patient should be informed of suggestive symptoms of serious hepatic effect (important asthenia, anorexia, persistent nausea, vomiting and jaundice). Treatment of fluconazole should be immediately discontinued and the patient should consult a</w:t>
      </w:r>
      <w:r w:rsidRPr="00564B42">
        <w:rPr>
          <w:rFonts w:ascii="Times New Roman" w:hAnsi="Times New Roman" w:cs="Times New Roman"/>
          <w:spacing w:val="-10"/>
          <w:sz w:val="24"/>
          <w:szCs w:val="24"/>
        </w:rPr>
        <w:t xml:space="preserve"> </w:t>
      </w:r>
      <w:r w:rsidRPr="00564B42">
        <w:rPr>
          <w:rFonts w:ascii="Times New Roman" w:hAnsi="Times New Roman" w:cs="Times New Roman"/>
          <w:sz w:val="24"/>
          <w:szCs w:val="24"/>
        </w:rPr>
        <w:t>physician.</w:t>
      </w:r>
    </w:p>
    <w:p w14:paraId="66A12EE0" w14:textId="77777777" w:rsidR="00BB20DE" w:rsidRPr="00564B42" w:rsidRDefault="00BB20DE" w:rsidP="008131B7">
      <w:pPr>
        <w:pStyle w:val="BodyText"/>
        <w:spacing w:before="90"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 xml:space="preserve">Cardiovascular system: Some azoles, including fluconazole, have been associated with prolongation of the QT interval on the electrocardiogram. Fluconazole causes QT prolongation via the inhibition of Rectifier Channel current (Ikr). The QT prolongation caused by other medicinal products (such as amiodarone) may be amplified via the inhibition of cytochrome P450 (CYP) 3A4. During post-marketing surveillance, there have been very rare cases of QT prolongation and torsades de pointes in patients taking Diflucan. These reports included seriously ill patients with multiple confounding </w:t>
      </w:r>
      <w:r w:rsidRPr="00564B42">
        <w:rPr>
          <w:rFonts w:ascii="Times New Roman" w:hAnsi="Times New Roman" w:cs="Times New Roman"/>
          <w:sz w:val="24"/>
          <w:szCs w:val="24"/>
        </w:rPr>
        <w:lastRenderedPageBreak/>
        <w:t>risk factors, such as structural heart disease, electrolyte abnormalities and concomitant treatment that may have been contributory. Patients with hypokalemia and advanced cardiac failure are at an increased risk for the occurrence of life threatening ventricular arrhythmias and torsades de</w:t>
      </w:r>
      <w:r w:rsidRPr="00564B42">
        <w:rPr>
          <w:rFonts w:ascii="Times New Roman" w:hAnsi="Times New Roman" w:cs="Times New Roman"/>
          <w:spacing w:val="-11"/>
          <w:sz w:val="24"/>
          <w:szCs w:val="24"/>
        </w:rPr>
        <w:t xml:space="preserve"> </w:t>
      </w:r>
      <w:r w:rsidRPr="00564B42">
        <w:rPr>
          <w:rFonts w:ascii="Times New Roman" w:hAnsi="Times New Roman" w:cs="Times New Roman"/>
          <w:sz w:val="24"/>
          <w:szCs w:val="24"/>
        </w:rPr>
        <w:t>pointes.</w:t>
      </w:r>
    </w:p>
    <w:p w14:paraId="50903F1C" w14:textId="77777777" w:rsidR="00BB20DE" w:rsidRPr="00564B42" w:rsidRDefault="00BB20DE"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Fluconazole capsules should be administered with caution to patients with potentially proarrhythmic conditions.</w:t>
      </w:r>
    </w:p>
    <w:p w14:paraId="48D1F90D" w14:textId="77777777" w:rsidR="00BB20DE" w:rsidRPr="00564B42" w:rsidRDefault="00BB20DE"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Coadministration of other medicinal products known to prolong the QT interval and which are metabolised via the cytochrome P450 (CYP) 3A4 are contraindicated.</w:t>
      </w:r>
    </w:p>
    <w:p w14:paraId="3A4C466F" w14:textId="77777777" w:rsidR="00BB20DE" w:rsidRPr="00564B42" w:rsidRDefault="00BB20DE"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Halofantrine: </w:t>
      </w:r>
      <w:r w:rsidRPr="00564B42">
        <w:rPr>
          <w:rFonts w:ascii="Times New Roman" w:hAnsi="Times New Roman" w:cs="Times New Roman"/>
          <w:sz w:val="24"/>
          <w:szCs w:val="24"/>
        </w:rPr>
        <w:t>Halofantrine has been shown to prolong QTc interval at the recommended therapeutic dose and is a substrate of CYP3A4. The concomitant use of fluconazole and halofantrine is therefore not recommended.</w:t>
      </w:r>
    </w:p>
    <w:p w14:paraId="1B36DA95" w14:textId="77777777" w:rsidR="00BB20DE" w:rsidRPr="00564B42" w:rsidRDefault="00BB20DE" w:rsidP="008131B7">
      <w:pPr>
        <w:pStyle w:val="BodyText"/>
        <w:spacing w:before="1"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Dermatological reactions: </w:t>
      </w:r>
      <w:r w:rsidRPr="00564B42">
        <w:rPr>
          <w:rFonts w:ascii="Times New Roman" w:hAnsi="Times New Roman" w:cs="Times New Roman"/>
          <w:sz w:val="24"/>
          <w:szCs w:val="24"/>
        </w:rPr>
        <w:t xml:space="preserve">Patients have rarely developed exfoliative cutaneous reactions, such as Stevens-Johnson syndrome and toxic epidermal necrolysis, during treatment with fluconazole. AIDS patients are more prone to the development of severe cutaneous reactions to many medicinal products. If a rash, which is considered attributable to fluconazole, develops in a patient treated for a superficial fungal infection, further therapy with this medicinal product should be discontinued. If patients with invasive/systemic fungal infections develop rashes, they should be monitored closely and fluconazole discontinued if </w:t>
      </w:r>
      <w:r w:rsidRPr="00564B42">
        <w:rPr>
          <w:rFonts w:ascii="Times New Roman" w:hAnsi="Times New Roman" w:cs="Times New Roman"/>
          <w:i/>
          <w:sz w:val="24"/>
          <w:szCs w:val="24"/>
        </w:rPr>
        <w:t xml:space="preserve">bullous </w:t>
      </w:r>
      <w:r w:rsidRPr="00564B42">
        <w:rPr>
          <w:rFonts w:ascii="Times New Roman" w:hAnsi="Times New Roman" w:cs="Times New Roman"/>
          <w:sz w:val="24"/>
          <w:szCs w:val="24"/>
        </w:rPr>
        <w:t xml:space="preserve">lesions or </w:t>
      </w:r>
      <w:r w:rsidRPr="00564B42">
        <w:rPr>
          <w:rFonts w:ascii="Times New Roman" w:hAnsi="Times New Roman" w:cs="Times New Roman"/>
          <w:i/>
          <w:sz w:val="24"/>
          <w:szCs w:val="24"/>
        </w:rPr>
        <w:t xml:space="preserve">erythema </w:t>
      </w:r>
      <w:r w:rsidRPr="00564B42">
        <w:rPr>
          <w:rFonts w:ascii="Times New Roman" w:hAnsi="Times New Roman" w:cs="Times New Roman"/>
          <w:sz w:val="24"/>
          <w:szCs w:val="24"/>
        </w:rPr>
        <w:t>multiforme develop.</w:t>
      </w:r>
    </w:p>
    <w:p w14:paraId="226C39D5" w14:textId="77777777" w:rsidR="00BB20DE" w:rsidRPr="00564B42" w:rsidRDefault="00BB20DE" w:rsidP="008131B7">
      <w:pPr>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Hypersensitivity: </w:t>
      </w:r>
      <w:r w:rsidRPr="00564B42">
        <w:rPr>
          <w:rFonts w:ascii="Times New Roman" w:hAnsi="Times New Roman" w:cs="Times New Roman"/>
          <w:sz w:val="24"/>
          <w:szCs w:val="24"/>
        </w:rPr>
        <w:t>In rare cases anaphylaxis has been reported</w:t>
      </w:r>
    </w:p>
    <w:p w14:paraId="2CF36098" w14:textId="77777777" w:rsidR="00BB20DE" w:rsidRPr="00564B42" w:rsidRDefault="00BB20DE" w:rsidP="008131B7">
      <w:pPr>
        <w:pStyle w:val="BodyText"/>
        <w:spacing w:before="137"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Cytochrome P450</w:t>
      </w:r>
      <w:r w:rsidRPr="00564B42">
        <w:rPr>
          <w:rFonts w:ascii="Times New Roman" w:hAnsi="Times New Roman" w:cs="Times New Roman"/>
          <w:sz w:val="24"/>
          <w:szCs w:val="24"/>
        </w:rPr>
        <w:t>: Fluconazole is a potent CYP2C9 inhibitor and a moderate CYP3A4 inhibitor. Fluconazole is also an inhibitor of CYP2C19. Diflucan treated patients who are concomitantly treated with medicinal products with a narrow therapeutic window metabolised through CYP2C9, CYP2C19 and CYP3A4, should be</w:t>
      </w:r>
      <w:r w:rsidRPr="00564B42">
        <w:rPr>
          <w:rFonts w:ascii="Times New Roman" w:hAnsi="Times New Roman" w:cs="Times New Roman"/>
          <w:spacing w:val="-3"/>
          <w:sz w:val="24"/>
          <w:szCs w:val="24"/>
        </w:rPr>
        <w:t xml:space="preserve"> </w:t>
      </w:r>
      <w:r w:rsidRPr="00564B42">
        <w:rPr>
          <w:rFonts w:ascii="Times New Roman" w:hAnsi="Times New Roman" w:cs="Times New Roman"/>
          <w:sz w:val="24"/>
          <w:szCs w:val="24"/>
        </w:rPr>
        <w:t>monitored.</w:t>
      </w:r>
    </w:p>
    <w:p w14:paraId="0FCD7440" w14:textId="77777777" w:rsidR="00BB20DE" w:rsidRPr="00564B42" w:rsidRDefault="00BB20DE"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Terfenadine: </w:t>
      </w:r>
      <w:r w:rsidRPr="00564B42">
        <w:rPr>
          <w:rFonts w:ascii="Times New Roman" w:hAnsi="Times New Roman" w:cs="Times New Roman"/>
          <w:sz w:val="24"/>
          <w:szCs w:val="24"/>
        </w:rPr>
        <w:t>The coadministration of fluconazole at doses lower than 400 mg per day with terfenadine should be carefully monitored.</w:t>
      </w:r>
    </w:p>
    <w:p w14:paraId="7745432E" w14:textId="369EA1A5" w:rsidR="00BB20DE" w:rsidRPr="00564B42" w:rsidRDefault="00BB20DE"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Excipients:</w:t>
      </w:r>
      <w:r w:rsidRPr="00564B42">
        <w:rPr>
          <w:rFonts w:ascii="Times New Roman" w:hAnsi="Times New Roman" w:cs="Times New Roman"/>
          <w:sz w:val="24"/>
          <w:szCs w:val="24"/>
        </w:rPr>
        <w:t xml:space="preserve"> Capsules contain lactose monohydrate. Patients with rare hereditary problems of galactose intolerance, the Lapp lactase deficiency or glucose-galactose malabsorption should not take this medicine.</w:t>
      </w:r>
    </w:p>
    <w:p w14:paraId="0C9A1F8A" w14:textId="77777777" w:rsidR="00857ADF" w:rsidRPr="00564B42" w:rsidRDefault="00857ADF" w:rsidP="00857ADF">
      <w:pPr>
        <w:autoSpaceDE w:val="0"/>
        <w:autoSpaceDN w:val="0"/>
        <w:adjustRightInd w:val="0"/>
        <w:spacing w:after="0" w:line="240" w:lineRule="auto"/>
        <w:ind w:left="-360" w:right="-423"/>
        <w:jc w:val="both"/>
        <w:rPr>
          <w:sz w:val="24"/>
          <w:szCs w:val="24"/>
        </w:rPr>
      </w:pPr>
    </w:p>
    <w:p w14:paraId="652FE43D" w14:textId="77777777" w:rsidR="00B7586C" w:rsidRPr="00564B42" w:rsidRDefault="00B7586C" w:rsidP="00C839BE">
      <w:pPr>
        <w:autoSpaceDE w:val="0"/>
        <w:autoSpaceDN w:val="0"/>
        <w:adjustRightInd w:val="0"/>
        <w:spacing w:after="0"/>
        <w:ind w:left="-360" w:right="-333"/>
        <w:jc w:val="both"/>
        <w:rPr>
          <w:rFonts w:ascii="Times New Roman" w:hAnsi="Times New Roman" w:cs="Times New Roman"/>
          <w:b/>
          <w:sz w:val="24"/>
          <w:szCs w:val="24"/>
          <w:highlight w:val="yellow"/>
        </w:rPr>
      </w:pPr>
      <w:r w:rsidRPr="00564B42">
        <w:rPr>
          <w:rFonts w:ascii="Times New Roman" w:hAnsi="Times New Roman" w:cs="Times New Roman"/>
          <w:b/>
          <w:sz w:val="24"/>
          <w:szCs w:val="24"/>
        </w:rPr>
        <w:t>4.5 Interaction with other medicinal products and other forms of interaction</w:t>
      </w:r>
    </w:p>
    <w:p w14:paraId="15498010" w14:textId="77777777" w:rsidR="00BB20DE" w:rsidRPr="00564B42" w:rsidRDefault="00BB20DE" w:rsidP="008131B7">
      <w:pPr>
        <w:pStyle w:val="Heading1"/>
        <w:tabs>
          <w:tab w:val="left" w:pos="180"/>
        </w:tabs>
        <w:spacing w:before="4"/>
        <w:ind w:left="-270" w:right="-333"/>
        <w:jc w:val="both"/>
      </w:pPr>
      <w:r w:rsidRPr="00564B42">
        <w:t>Concomitant use of the following other medicinal products are</w:t>
      </w:r>
      <w:r w:rsidRPr="00564B42">
        <w:rPr>
          <w:spacing w:val="-29"/>
        </w:rPr>
        <w:t xml:space="preserve"> </w:t>
      </w:r>
      <w:r w:rsidRPr="00564B42">
        <w:t>contraindicated:</w:t>
      </w:r>
    </w:p>
    <w:p w14:paraId="3FC299F7" w14:textId="77777777" w:rsidR="00BB20DE" w:rsidRPr="00564B42" w:rsidRDefault="00BB20DE" w:rsidP="00BB20DE">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Cisapride: </w:t>
      </w:r>
      <w:r w:rsidRPr="00564B42">
        <w:rPr>
          <w:rFonts w:ascii="Times New Roman" w:hAnsi="Times New Roman" w:cs="Times New Roman"/>
          <w:sz w:val="24"/>
          <w:szCs w:val="24"/>
        </w:rPr>
        <w:t xml:space="preserve">There have been reports of cardiac events including </w:t>
      </w:r>
      <w:r w:rsidRPr="00564B42">
        <w:rPr>
          <w:rFonts w:ascii="Times New Roman" w:hAnsi="Times New Roman" w:cs="Times New Roman"/>
          <w:i/>
          <w:sz w:val="24"/>
          <w:szCs w:val="24"/>
        </w:rPr>
        <w:t xml:space="preserve">torsades de pointes </w:t>
      </w:r>
      <w:r w:rsidRPr="00564B42">
        <w:rPr>
          <w:rFonts w:ascii="Times New Roman" w:hAnsi="Times New Roman" w:cs="Times New Roman"/>
          <w:sz w:val="24"/>
          <w:szCs w:val="24"/>
        </w:rPr>
        <w:t>in patients to whom fluconazole and cisapride were coadministered. A controlled study found that concomitant fluconazole 200 mg once daily and cisapride 20 mg four times a day yielded a significant increase in cisapride plasma levels and prolongation of QTc interval. Concomitant treatment with fluconazole and cisapride is</w:t>
      </w:r>
      <w:r w:rsidRPr="00564B42">
        <w:rPr>
          <w:rFonts w:ascii="Times New Roman" w:hAnsi="Times New Roman" w:cs="Times New Roman"/>
          <w:spacing w:val="-3"/>
          <w:sz w:val="24"/>
          <w:szCs w:val="24"/>
        </w:rPr>
        <w:t xml:space="preserve"> </w:t>
      </w:r>
      <w:r w:rsidRPr="00564B42">
        <w:rPr>
          <w:rFonts w:ascii="Times New Roman" w:hAnsi="Times New Roman" w:cs="Times New Roman"/>
          <w:sz w:val="24"/>
          <w:szCs w:val="24"/>
        </w:rPr>
        <w:t>contraindicated.</w:t>
      </w:r>
    </w:p>
    <w:p w14:paraId="27995C64" w14:textId="77777777" w:rsidR="00BB20DE" w:rsidRPr="00564B42" w:rsidRDefault="00BB20DE" w:rsidP="00BB20DE">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Terfenadine: </w:t>
      </w:r>
      <w:r w:rsidRPr="00564B42">
        <w:rPr>
          <w:rFonts w:ascii="Times New Roman" w:hAnsi="Times New Roman" w:cs="Times New Roman"/>
          <w:sz w:val="24"/>
          <w:szCs w:val="24"/>
        </w:rPr>
        <w:t xml:space="preserve">Because of the occurrence of serious cardiac dysrhythmias secondary to prolongation of the QTc interval in patients receiving azole antifungals in conjunction with terfenadine, interaction studies have been performed. One study at a 200 mg daily dose of fluconazole failed to demonstrate a prolongation in QTc interval. Another study at a 400 mg and 800 mg daily dose of fluconazole demonstrated that fluconazole taken in doses of 400 mg per day or greater significantly increases plasma levels of terfenadine when taken concomitantly. The combined use of fluconazole </w:t>
      </w:r>
      <w:r w:rsidRPr="00564B42">
        <w:rPr>
          <w:rFonts w:ascii="Times New Roman" w:hAnsi="Times New Roman" w:cs="Times New Roman"/>
          <w:sz w:val="24"/>
          <w:szCs w:val="24"/>
        </w:rPr>
        <w:lastRenderedPageBreak/>
        <w:t>at doses of 400 mg or greater with terfenadine is contraindicated. The coadministration of fluconazole at doses lower than 400 mg per day with terfenadine should be carefully</w:t>
      </w:r>
      <w:r w:rsidRPr="00564B42">
        <w:rPr>
          <w:rFonts w:ascii="Times New Roman" w:hAnsi="Times New Roman" w:cs="Times New Roman"/>
          <w:spacing w:val="-8"/>
          <w:sz w:val="24"/>
          <w:szCs w:val="24"/>
        </w:rPr>
        <w:t xml:space="preserve"> </w:t>
      </w:r>
      <w:r w:rsidRPr="00564B42">
        <w:rPr>
          <w:rFonts w:ascii="Times New Roman" w:hAnsi="Times New Roman" w:cs="Times New Roman"/>
          <w:sz w:val="24"/>
          <w:szCs w:val="24"/>
        </w:rPr>
        <w:t>monitored.</w:t>
      </w:r>
    </w:p>
    <w:p w14:paraId="417A42FE"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Astemizole: </w:t>
      </w:r>
      <w:r w:rsidRPr="00564B42">
        <w:rPr>
          <w:rFonts w:ascii="Times New Roman" w:hAnsi="Times New Roman" w:cs="Times New Roman"/>
          <w:sz w:val="24"/>
          <w:szCs w:val="24"/>
        </w:rPr>
        <w:t xml:space="preserve">Concomitant administration of fluconazole with astemizole may decrease the clearance of astemizole. Resulting increased plasma concentrations of astemizole can lead to QT prolongation and rare occurrences of </w:t>
      </w:r>
      <w:r w:rsidRPr="00564B42">
        <w:rPr>
          <w:rFonts w:ascii="Times New Roman" w:hAnsi="Times New Roman" w:cs="Times New Roman"/>
          <w:i/>
          <w:sz w:val="24"/>
          <w:szCs w:val="24"/>
        </w:rPr>
        <w:t>torsades de pointes</w:t>
      </w:r>
      <w:r w:rsidRPr="00564B42">
        <w:rPr>
          <w:rFonts w:ascii="Times New Roman" w:hAnsi="Times New Roman" w:cs="Times New Roman"/>
          <w:sz w:val="24"/>
          <w:szCs w:val="24"/>
        </w:rPr>
        <w:t>. Coadministration of fluconazole and astemizole is contraindicated</w:t>
      </w:r>
    </w:p>
    <w:p w14:paraId="0A68DBE0"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Pimozide: </w:t>
      </w:r>
      <w:r w:rsidRPr="00564B42">
        <w:rPr>
          <w:rFonts w:ascii="Times New Roman" w:hAnsi="Times New Roman" w:cs="Times New Roman"/>
          <w:sz w:val="24"/>
          <w:szCs w:val="24"/>
        </w:rPr>
        <w:t xml:space="preserve">Although not studied </w:t>
      </w:r>
      <w:r w:rsidRPr="00564B42">
        <w:rPr>
          <w:rFonts w:ascii="Times New Roman" w:hAnsi="Times New Roman" w:cs="Times New Roman"/>
          <w:i/>
          <w:sz w:val="24"/>
          <w:szCs w:val="24"/>
        </w:rPr>
        <w:t xml:space="preserve">in vitro </w:t>
      </w:r>
      <w:r w:rsidRPr="00564B42">
        <w:rPr>
          <w:rFonts w:ascii="Times New Roman" w:hAnsi="Times New Roman" w:cs="Times New Roman"/>
          <w:sz w:val="24"/>
          <w:szCs w:val="24"/>
        </w:rPr>
        <w:t xml:space="preserve">or </w:t>
      </w:r>
      <w:r w:rsidRPr="00564B42">
        <w:rPr>
          <w:rFonts w:ascii="Times New Roman" w:hAnsi="Times New Roman" w:cs="Times New Roman"/>
          <w:i/>
          <w:sz w:val="24"/>
          <w:szCs w:val="24"/>
        </w:rPr>
        <w:t>in vivo</w:t>
      </w:r>
      <w:r w:rsidRPr="00564B42">
        <w:rPr>
          <w:rFonts w:ascii="Times New Roman" w:hAnsi="Times New Roman" w:cs="Times New Roman"/>
          <w:sz w:val="24"/>
          <w:szCs w:val="24"/>
        </w:rPr>
        <w:t xml:space="preserve">, concomitant administration of fluconazole with pimozide may result in inhibition of pimozide metabolism. Increased pimozide plasma concentrations can lead to QT prolongation and rare occurrences of </w:t>
      </w:r>
      <w:r w:rsidRPr="00564B42">
        <w:rPr>
          <w:rFonts w:ascii="Times New Roman" w:hAnsi="Times New Roman" w:cs="Times New Roman"/>
          <w:i/>
          <w:sz w:val="24"/>
          <w:szCs w:val="24"/>
        </w:rPr>
        <w:t>torsades de pointes</w:t>
      </w:r>
      <w:r w:rsidRPr="00564B42">
        <w:rPr>
          <w:rFonts w:ascii="Times New Roman" w:hAnsi="Times New Roman" w:cs="Times New Roman"/>
          <w:sz w:val="24"/>
          <w:szCs w:val="24"/>
        </w:rPr>
        <w:t>. Coadministration of fluconazole and pimozide is contraindicated.</w:t>
      </w:r>
    </w:p>
    <w:p w14:paraId="1B5C20D1" w14:textId="77777777" w:rsidR="00BB20DE" w:rsidRPr="00564B42" w:rsidRDefault="00BB20DE" w:rsidP="00564B42">
      <w:pPr>
        <w:pStyle w:val="BodyText"/>
        <w:spacing w:before="90"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Quinidine: </w:t>
      </w:r>
      <w:r w:rsidRPr="00564B42">
        <w:rPr>
          <w:rFonts w:ascii="Times New Roman" w:hAnsi="Times New Roman" w:cs="Times New Roman"/>
          <w:sz w:val="24"/>
          <w:szCs w:val="24"/>
        </w:rPr>
        <w:t xml:space="preserve">Although not studied </w:t>
      </w:r>
      <w:r w:rsidRPr="00564B42">
        <w:rPr>
          <w:rFonts w:ascii="Times New Roman" w:hAnsi="Times New Roman" w:cs="Times New Roman"/>
          <w:i/>
          <w:sz w:val="24"/>
          <w:szCs w:val="24"/>
        </w:rPr>
        <w:t xml:space="preserve">in vitro </w:t>
      </w:r>
      <w:r w:rsidRPr="00564B42">
        <w:rPr>
          <w:rFonts w:ascii="Times New Roman" w:hAnsi="Times New Roman" w:cs="Times New Roman"/>
          <w:sz w:val="24"/>
          <w:szCs w:val="24"/>
        </w:rPr>
        <w:t xml:space="preserve">or </w:t>
      </w:r>
      <w:r w:rsidRPr="00564B42">
        <w:rPr>
          <w:rFonts w:ascii="Times New Roman" w:hAnsi="Times New Roman" w:cs="Times New Roman"/>
          <w:i/>
          <w:sz w:val="24"/>
          <w:szCs w:val="24"/>
        </w:rPr>
        <w:t>in vivo</w:t>
      </w:r>
      <w:r w:rsidRPr="00564B42">
        <w:rPr>
          <w:rFonts w:ascii="Times New Roman" w:hAnsi="Times New Roman" w:cs="Times New Roman"/>
          <w:sz w:val="24"/>
          <w:szCs w:val="24"/>
        </w:rPr>
        <w:t xml:space="preserve">, concomitant administration of fluconazole with quinidine may result in inhibition of quinidine metabolism. Use of quinidine has been associated with QT prolongation and rare occurrences of </w:t>
      </w:r>
      <w:r w:rsidRPr="00564B42">
        <w:rPr>
          <w:rFonts w:ascii="Times New Roman" w:hAnsi="Times New Roman" w:cs="Times New Roman"/>
          <w:i/>
          <w:sz w:val="24"/>
          <w:szCs w:val="24"/>
        </w:rPr>
        <w:t>torsades de pointes</w:t>
      </w:r>
      <w:r w:rsidRPr="00564B42">
        <w:rPr>
          <w:rFonts w:ascii="Times New Roman" w:hAnsi="Times New Roman" w:cs="Times New Roman"/>
          <w:sz w:val="24"/>
          <w:szCs w:val="24"/>
        </w:rPr>
        <w:t>. Coadministration of fluconazole and quinidine is</w:t>
      </w:r>
      <w:r w:rsidRPr="00564B42">
        <w:rPr>
          <w:rFonts w:ascii="Times New Roman" w:hAnsi="Times New Roman" w:cs="Times New Roman"/>
          <w:spacing w:val="-4"/>
          <w:sz w:val="24"/>
          <w:szCs w:val="24"/>
        </w:rPr>
        <w:t xml:space="preserve"> </w:t>
      </w:r>
      <w:r w:rsidRPr="00564B42">
        <w:rPr>
          <w:rFonts w:ascii="Times New Roman" w:hAnsi="Times New Roman" w:cs="Times New Roman"/>
          <w:sz w:val="24"/>
          <w:szCs w:val="24"/>
        </w:rPr>
        <w:t>contraindicated.</w:t>
      </w:r>
    </w:p>
    <w:p w14:paraId="3863C459"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Erythromycin: </w:t>
      </w:r>
      <w:r w:rsidRPr="00564B42">
        <w:rPr>
          <w:rFonts w:ascii="Times New Roman" w:hAnsi="Times New Roman" w:cs="Times New Roman"/>
          <w:sz w:val="24"/>
          <w:szCs w:val="24"/>
        </w:rPr>
        <w:t xml:space="preserve">Concomitant use of fluconazole and erythromycin has the potential to increase the risk of cardiotoxicity (prolonged QT interval, </w:t>
      </w:r>
      <w:r w:rsidRPr="00564B42">
        <w:rPr>
          <w:rFonts w:ascii="Times New Roman" w:hAnsi="Times New Roman" w:cs="Times New Roman"/>
          <w:i/>
          <w:sz w:val="24"/>
          <w:szCs w:val="24"/>
        </w:rPr>
        <w:t>torsades de pointes</w:t>
      </w:r>
      <w:r w:rsidRPr="00564B42">
        <w:rPr>
          <w:rFonts w:ascii="Times New Roman" w:hAnsi="Times New Roman" w:cs="Times New Roman"/>
          <w:sz w:val="24"/>
          <w:szCs w:val="24"/>
        </w:rPr>
        <w:t>) and consequently sudden heart death. Coadministration of fluconazole and erythromycin is contraindicated.</w:t>
      </w:r>
    </w:p>
    <w:p w14:paraId="66705CAD" w14:textId="77777777" w:rsidR="00BB20DE" w:rsidRPr="00564B42" w:rsidRDefault="00BB20DE" w:rsidP="00564B42">
      <w:pPr>
        <w:spacing w:before="4"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Concomitant use of the following other medicinal products cannot be recommended: </w:t>
      </w:r>
      <w:r w:rsidRPr="00564B42">
        <w:rPr>
          <w:rFonts w:ascii="Times New Roman" w:hAnsi="Times New Roman" w:cs="Times New Roman"/>
          <w:b/>
          <w:sz w:val="24"/>
          <w:szCs w:val="24"/>
          <w:u w:val="thick"/>
        </w:rPr>
        <w:t>Halofantrine</w:t>
      </w:r>
      <w:r w:rsidRPr="00564B42">
        <w:rPr>
          <w:rFonts w:ascii="Times New Roman" w:hAnsi="Times New Roman" w:cs="Times New Roman"/>
          <w:b/>
          <w:sz w:val="24"/>
          <w:szCs w:val="24"/>
        </w:rPr>
        <w:t xml:space="preserve">: </w:t>
      </w:r>
      <w:r w:rsidRPr="00564B42">
        <w:rPr>
          <w:rFonts w:ascii="Times New Roman" w:hAnsi="Times New Roman" w:cs="Times New Roman"/>
          <w:sz w:val="24"/>
          <w:szCs w:val="24"/>
        </w:rPr>
        <w:t xml:space="preserve">Fluconazole can increase halofantrine plasma concentration due to an inhibitory effect on CYP3A4. Concomitant use of fluconazole and halofantrine has the potential to increase the risk of cardiotoxicity (prolonged QT interval, </w:t>
      </w:r>
      <w:r w:rsidRPr="00564B42">
        <w:rPr>
          <w:rFonts w:ascii="Times New Roman" w:hAnsi="Times New Roman" w:cs="Times New Roman"/>
          <w:i/>
          <w:sz w:val="24"/>
          <w:szCs w:val="24"/>
        </w:rPr>
        <w:t>torsades de pointes</w:t>
      </w:r>
      <w:r w:rsidRPr="00564B42">
        <w:rPr>
          <w:rFonts w:ascii="Times New Roman" w:hAnsi="Times New Roman" w:cs="Times New Roman"/>
          <w:sz w:val="24"/>
          <w:szCs w:val="24"/>
        </w:rPr>
        <w:t>) and consequently sudden heart death. This combination should be avoided.</w:t>
      </w:r>
    </w:p>
    <w:p w14:paraId="7FA04A96" w14:textId="77777777" w:rsidR="00BB20DE" w:rsidRPr="00564B42" w:rsidRDefault="00BB20DE" w:rsidP="00564B42">
      <w:pPr>
        <w:pStyle w:val="Heading1"/>
        <w:spacing w:before="1"/>
        <w:ind w:left="-270" w:right="-333"/>
        <w:jc w:val="both"/>
      </w:pPr>
      <w:r w:rsidRPr="00564B42">
        <w:t>Concomitant use that should be used with caution:</w:t>
      </w:r>
    </w:p>
    <w:p w14:paraId="435A525B" w14:textId="77777777" w:rsidR="00BB20DE" w:rsidRPr="00564B42" w:rsidRDefault="00BB20DE" w:rsidP="00564B42">
      <w:pPr>
        <w:pStyle w:val="BodyText"/>
        <w:spacing w:before="132"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Amiodarone: </w:t>
      </w:r>
      <w:r w:rsidRPr="00564B42">
        <w:rPr>
          <w:rFonts w:ascii="Times New Roman" w:hAnsi="Times New Roman" w:cs="Times New Roman"/>
          <w:sz w:val="24"/>
          <w:szCs w:val="24"/>
        </w:rPr>
        <w:t>Concomitant administration of fluconazole with amiodarone may increase QT prolongation. Caution must be exercised if the concomitant use of fluconazole and amiodarone is necessary, notably with high dose fluconazole (800 mg).</w:t>
      </w:r>
    </w:p>
    <w:p w14:paraId="7B163C41" w14:textId="77777777" w:rsidR="00BB20DE" w:rsidRPr="00564B42" w:rsidRDefault="00BB20DE" w:rsidP="00564B42">
      <w:pPr>
        <w:pStyle w:val="Heading1"/>
        <w:spacing w:before="7"/>
        <w:ind w:left="-270" w:right="-333"/>
        <w:jc w:val="both"/>
      </w:pPr>
      <w:r w:rsidRPr="00564B42">
        <w:t>Concomitant use of the following other medicinal products lead to precautions and dose adjustments:</w:t>
      </w:r>
    </w:p>
    <w:p w14:paraId="1F128998" w14:textId="77777777" w:rsidR="00BB20DE" w:rsidRPr="00564B42" w:rsidRDefault="00BB20DE" w:rsidP="00564B42">
      <w:pPr>
        <w:spacing w:line="240" w:lineRule="auto"/>
        <w:ind w:left="-270" w:right="-333"/>
        <w:jc w:val="both"/>
        <w:rPr>
          <w:rFonts w:ascii="Times New Roman" w:hAnsi="Times New Roman" w:cs="Times New Roman"/>
          <w:b/>
          <w:sz w:val="24"/>
          <w:szCs w:val="24"/>
        </w:rPr>
      </w:pPr>
      <w:r w:rsidRPr="00564B42">
        <w:rPr>
          <w:rFonts w:ascii="Times New Roman" w:hAnsi="Times New Roman" w:cs="Times New Roman"/>
          <w:b/>
          <w:sz w:val="24"/>
          <w:szCs w:val="24"/>
        </w:rPr>
        <w:t>The effect of other medicinal products on fluconazole</w:t>
      </w:r>
    </w:p>
    <w:p w14:paraId="253548FD" w14:textId="77777777" w:rsidR="00BB20DE" w:rsidRPr="00564B42" w:rsidRDefault="00BB20DE" w:rsidP="00564B42">
      <w:pPr>
        <w:pStyle w:val="BodyText"/>
        <w:spacing w:before="132"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Rifampicin: </w:t>
      </w:r>
      <w:r w:rsidRPr="00564B42">
        <w:rPr>
          <w:rFonts w:ascii="Times New Roman" w:hAnsi="Times New Roman" w:cs="Times New Roman"/>
          <w:sz w:val="24"/>
          <w:szCs w:val="24"/>
        </w:rPr>
        <w:t>Concomitant administration of fluconazole and rifampicin resulted in a 25% decrease in the AUC and a 20% shorter half-life of fluconazole. In patients receiving concomitant rifampicin, an increase of the fluconazole dose should be</w:t>
      </w:r>
      <w:r w:rsidRPr="00564B42">
        <w:rPr>
          <w:rFonts w:ascii="Times New Roman" w:hAnsi="Times New Roman" w:cs="Times New Roman"/>
          <w:spacing w:val="-6"/>
          <w:sz w:val="24"/>
          <w:szCs w:val="24"/>
        </w:rPr>
        <w:t xml:space="preserve"> </w:t>
      </w:r>
      <w:r w:rsidRPr="00564B42">
        <w:rPr>
          <w:rFonts w:ascii="Times New Roman" w:hAnsi="Times New Roman" w:cs="Times New Roman"/>
          <w:sz w:val="24"/>
          <w:szCs w:val="24"/>
        </w:rPr>
        <w:t>considered.</w:t>
      </w:r>
    </w:p>
    <w:p w14:paraId="083DD14E" w14:textId="77777777" w:rsidR="00BB20DE" w:rsidRPr="00564B42" w:rsidRDefault="00BB20DE" w:rsidP="00564B42">
      <w:pPr>
        <w:pStyle w:val="BodyText"/>
        <w:spacing w:before="1" w:line="24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t>Interaction studies have shown that when oral fluconazole is coadministered with food, cimetidine, antacids or following total body irradiation for bone marrow transplantation, no clinically significant impairment of fluconazole absorption occurs.</w:t>
      </w:r>
    </w:p>
    <w:p w14:paraId="46934413"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Hydrochlorothiazide: </w:t>
      </w:r>
      <w:r w:rsidRPr="00564B42">
        <w:rPr>
          <w:rFonts w:ascii="Times New Roman" w:hAnsi="Times New Roman" w:cs="Times New Roman"/>
          <w:sz w:val="24"/>
          <w:szCs w:val="24"/>
        </w:rPr>
        <w:t>In a pharmacokinetic interaction study, coadministration of multiple-dose hydrochlorothiazide to healthy volunteers receiving fluconazole increased plasma concentration of fluconazole by 40%. An effect of this magnitude should not necessitate a change in the fluconazole dose regimen in subjects receiving concomitant diuretics.</w:t>
      </w:r>
    </w:p>
    <w:p w14:paraId="1AA76339" w14:textId="77777777" w:rsidR="00BB20DE" w:rsidRPr="00564B42" w:rsidRDefault="00BB20DE" w:rsidP="00564B42">
      <w:pPr>
        <w:pStyle w:val="Heading1"/>
        <w:spacing w:before="4"/>
        <w:ind w:left="-270" w:right="-333"/>
        <w:jc w:val="both"/>
      </w:pPr>
      <w:r w:rsidRPr="00564B42">
        <w:t>The effect of fluconazole on other medicinal products</w:t>
      </w:r>
    </w:p>
    <w:p w14:paraId="325EE5D3" w14:textId="77777777" w:rsidR="00BB20DE" w:rsidRPr="00564B42" w:rsidRDefault="00BB20DE" w:rsidP="00564B42">
      <w:pPr>
        <w:pStyle w:val="BodyText"/>
        <w:spacing w:before="90" w:line="24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lastRenderedPageBreak/>
        <w:t>Fluconazole is a potent inhibitor of cytochrome P450 (CYP) isoenzyme 2C9 and a moderate inhibitor of CYP3A4. Fluconazole is also an inhibitor of the isozyme CYP2C19. In addition to the observed/documented interactions mentioned below, there is a risk of increased plasma concentration of other compounds metabolized by CYP2C9, CYP2C19 and CYP3A4 coadministered with fluconazole. Therefore caution should be exercised when using these combinations and the patients should be carefully monitored. The enzyme inhibiting effect of fluconazole persists 4-5 days after discontinuation of fluconazole treatment due to the long half- life of fluconazole.</w:t>
      </w:r>
    </w:p>
    <w:p w14:paraId="7DA39E8C" w14:textId="77777777" w:rsidR="00BB20DE" w:rsidRPr="00564B42" w:rsidRDefault="00BB20DE" w:rsidP="00564B42">
      <w:pPr>
        <w:pStyle w:val="Heading1"/>
        <w:spacing w:before="5"/>
        <w:ind w:left="-270" w:right="-333"/>
        <w:jc w:val="both"/>
      </w:pPr>
      <w:r w:rsidRPr="00564B42">
        <w:t>Alfentanil:</w:t>
      </w:r>
    </w:p>
    <w:p w14:paraId="09066B55" w14:textId="77777777" w:rsidR="00BB20DE" w:rsidRPr="00564B42" w:rsidRDefault="00BB20DE" w:rsidP="00564B42">
      <w:pPr>
        <w:pStyle w:val="BodyText"/>
        <w:spacing w:before="132" w:line="24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t xml:space="preserve">During concomitant treatment with fluconazole (400 mg) and intravenous alfentanil (20 μg/kg) in healthy volunteers the alfentanil AUC </w:t>
      </w:r>
      <w:r w:rsidRPr="00564B42">
        <w:rPr>
          <w:rFonts w:ascii="Times New Roman" w:hAnsi="Times New Roman" w:cs="Times New Roman"/>
          <w:sz w:val="24"/>
          <w:szCs w:val="24"/>
          <w:vertAlign w:val="subscript"/>
        </w:rPr>
        <w:t>10</w:t>
      </w:r>
      <w:r w:rsidRPr="00564B42">
        <w:rPr>
          <w:rFonts w:ascii="Times New Roman" w:hAnsi="Times New Roman" w:cs="Times New Roman"/>
          <w:sz w:val="24"/>
          <w:szCs w:val="24"/>
        </w:rPr>
        <w:t xml:space="preserve"> increased 2-fold, probably through inhibition of CYP3A4.Dose adjustment of alfentanil may be</w:t>
      </w:r>
      <w:r w:rsidRPr="00564B42">
        <w:rPr>
          <w:rFonts w:ascii="Times New Roman" w:hAnsi="Times New Roman" w:cs="Times New Roman"/>
          <w:spacing w:val="-9"/>
          <w:sz w:val="24"/>
          <w:szCs w:val="24"/>
        </w:rPr>
        <w:t xml:space="preserve"> </w:t>
      </w:r>
      <w:r w:rsidRPr="00564B42">
        <w:rPr>
          <w:rFonts w:ascii="Times New Roman" w:hAnsi="Times New Roman" w:cs="Times New Roman"/>
          <w:sz w:val="24"/>
          <w:szCs w:val="24"/>
        </w:rPr>
        <w:t>necessary.</w:t>
      </w:r>
    </w:p>
    <w:p w14:paraId="565042C4" w14:textId="77777777" w:rsidR="00BB20DE" w:rsidRPr="00564B42" w:rsidRDefault="00BB20DE" w:rsidP="00564B42">
      <w:pPr>
        <w:pStyle w:val="BodyText"/>
        <w:spacing w:before="2"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Amitriptyline, Nortriptyline: </w:t>
      </w:r>
      <w:r w:rsidRPr="00564B42">
        <w:rPr>
          <w:rFonts w:ascii="Times New Roman" w:hAnsi="Times New Roman" w:cs="Times New Roman"/>
          <w:sz w:val="24"/>
          <w:szCs w:val="24"/>
        </w:rPr>
        <w:t>Fluconazole increases the effect of amitriptyline and nortriptyline. 5-nortriptyline and/or S-amitriptyline may be measured at initiation of the combination therapy and after one week. Dose of amitriptyline/nortriptyline should be adjusted, if</w:t>
      </w:r>
      <w:r w:rsidRPr="00564B42">
        <w:rPr>
          <w:rFonts w:ascii="Times New Roman" w:hAnsi="Times New Roman" w:cs="Times New Roman"/>
          <w:spacing w:val="-1"/>
          <w:sz w:val="24"/>
          <w:szCs w:val="24"/>
        </w:rPr>
        <w:t xml:space="preserve"> </w:t>
      </w:r>
      <w:r w:rsidRPr="00564B42">
        <w:rPr>
          <w:rFonts w:ascii="Times New Roman" w:hAnsi="Times New Roman" w:cs="Times New Roman"/>
          <w:sz w:val="24"/>
          <w:szCs w:val="24"/>
        </w:rPr>
        <w:t>necessary</w:t>
      </w:r>
    </w:p>
    <w:p w14:paraId="601E3D75"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Amphotericin B</w:t>
      </w:r>
      <w:r w:rsidRPr="00564B42">
        <w:rPr>
          <w:rFonts w:ascii="Times New Roman" w:hAnsi="Times New Roman" w:cs="Times New Roman"/>
          <w:sz w:val="24"/>
          <w:szCs w:val="24"/>
        </w:rPr>
        <w:t xml:space="preserve">: Concurrent administration of fluconazole and amphotericin B in infected normal and immunosuppressed mice showed the following results: a small additive antifungal effect in systemic infection with </w:t>
      </w:r>
      <w:r w:rsidRPr="00564B42">
        <w:rPr>
          <w:rFonts w:ascii="Times New Roman" w:hAnsi="Times New Roman" w:cs="Times New Roman"/>
          <w:i/>
          <w:sz w:val="24"/>
          <w:szCs w:val="24"/>
        </w:rPr>
        <w:t>C. albicans</w:t>
      </w:r>
      <w:r w:rsidRPr="00564B42">
        <w:rPr>
          <w:rFonts w:ascii="Times New Roman" w:hAnsi="Times New Roman" w:cs="Times New Roman"/>
          <w:sz w:val="24"/>
          <w:szCs w:val="24"/>
        </w:rPr>
        <w:t xml:space="preserve">, no interaction in intracranial infection with </w:t>
      </w:r>
      <w:r w:rsidRPr="00564B42">
        <w:rPr>
          <w:rFonts w:ascii="Times New Roman" w:hAnsi="Times New Roman" w:cs="Times New Roman"/>
          <w:i/>
          <w:sz w:val="24"/>
          <w:szCs w:val="24"/>
        </w:rPr>
        <w:t>Cryptococcus neoformans</w:t>
      </w:r>
      <w:r w:rsidRPr="00564B42">
        <w:rPr>
          <w:rFonts w:ascii="Times New Roman" w:hAnsi="Times New Roman" w:cs="Times New Roman"/>
          <w:sz w:val="24"/>
          <w:szCs w:val="24"/>
        </w:rPr>
        <w:t xml:space="preserve">, and antagonism of the two medicinal products in systemic infection with </w:t>
      </w:r>
      <w:r w:rsidRPr="00564B42">
        <w:rPr>
          <w:rFonts w:ascii="Times New Roman" w:hAnsi="Times New Roman" w:cs="Times New Roman"/>
          <w:i/>
          <w:sz w:val="24"/>
          <w:szCs w:val="24"/>
        </w:rPr>
        <w:t>Aspergillus fumigatus</w:t>
      </w:r>
      <w:r w:rsidRPr="00564B42">
        <w:rPr>
          <w:rFonts w:ascii="Times New Roman" w:hAnsi="Times New Roman" w:cs="Times New Roman"/>
          <w:sz w:val="24"/>
          <w:szCs w:val="24"/>
        </w:rPr>
        <w:t>. The clinical significance of results obtained in these studies is unknown.</w:t>
      </w:r>
    </w:p>
    <w:p w14:paraId="03288CB2"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Anticoagulants: </w:t>
      </w:r>
      <w:r w:rsidRPr="00564B42">
        <w:rPr>
          <w:rFonts w:ascii="Times New Roman" w:hAnsi="Times New Roman" w:cs="Times New Roman"/>
          <w:sz w:val="24"/>
          <w:szCs w:val="24"/>
        </w:rPr>
        <w:t>In post-marketing experience, as with other azole antifungals, bleeding events (bruising, epistaxis, gastrointestinal bleeding, hematuria, and melena) have been reported, in association with increases in prothrombin time in patients receiving fluconazole concurrently with warfarin. During concomitant treatment with fluconazole and warfarin the prothrombin time was prolonged up to 2-fold, probably due to an inhibition of the warfarin metabolism through CYP2C9. In patients receiving coumarin-type or indanedione anticoagulants concurrently with fluconazole the prothrombin time should be carefully monitored. Dose adjustment of the anticoagulant may be necessary.</w:t>
      </w:r>
    </w:p>
    <w:p w14:paraId="162928B6" w14:textId="77777777" w:rsidR="00BB20DE" w:rsidRPr="00564B42" w:rsidRDefault="00BB20DE" w:rsidP="00564B42">
      <w:pPr>
        <w:pStyle w:val="BodyText"/>
        <w:spacing w:before="90"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Benzodiazepines (short acting), i.e. midazolam, triazolam: </w:t>
      </w:r>
      <w:r w:rsidRPr="00564B42">
        <w:rPr>
          <w:rFonts w:ascii="Times New Roman" w:hAnsi="Times New Roman" w:cs="Times New Roman"/>
          <w:sz w:val="24"/>
          <w:szCs w:val="24"/>
        </w:rPr>
        <w:t>Following oral administration of midazolam, fluconazole resulted in substantial increases in midazolam concentrations and psychomotor effects. Concomitant intake of fluconazole 200 mg and midazolam 7.5 mg orally increased the midazolam AUC and half-life 3.7-fold and 2.2-fold, respectively. Fluconazole 200 mg daily given concurrently with triazolam 0.25 mg orally increased the triazolam AUC and half-life 4.4-fold and 2.3-fold, respectively. Potentiated and prolonged effects of triazolam have been observed at concomitant treatment with fluconazole. If concomitant benzodiazepine therapy is necessary in patients being treated with fluconazole, consideration should be given to decreasing the benzodiazepine dose, and the patients should be appropriately monitored.</w:t>
      </w:r>
    </w:p>
    <w:p w14:paraId="440B8531"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Carbamazepine: </w:t>
      </w:r>
      <w:r w:rsidRPr="00564B42">
        <w:rPr>
          <w:rFonts w:ascii="Times New Roman" w:hAnsi="Times New Roman" w:cs="Times New Roman"/>
          <w:sz w:val="24"/>
          <w:szCs w:val="24"/>
        </w:rPr>
        <w:t>Fluconazole inhibits the metabolism of carbamazepine and an increase in serum carbamazepine of 30% has been observed. There is a risk of developing carbamazepine toxicity. Dose adjustment of carbamazepine may be necessary depending on concentration measurements/effect.</w:t>
      </w:r>
    </w:p>
    <w:p w14:paraId="09016FB0"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Calcium channel blockers: </w:t>
      </w:r>
      <w:r w:rsidRPr="00564B42">
        <w:rPr>
          <w:rFonts w:ascii="Times New Roman" w:hAnsi="Times New Roman" w:cs="Times New Roman"/>
          <w:sz w:val="24"/>
          <w:szCs w:val="24"/>
        </w:rPr>
        <w:t xml:space="preserve">Certain calcium channel antagonists (nifedipine, isradipine, amlodipine, verapamil and felodipine) are metabolized by CYP3A4. Fluconazole has the potential </w:t>
      </w:r>
      <w:r w:rsidRPr="00564B42">
        <w:rPr>
          <w:rFonts w:ascii="Times New Roman" w:hAnsi="Times New Roman" w:cs="Times New Roman"/>
          <w:sz w:val="24"/>
          <w:szCs w:val="24"/>
        </w:rPr>
        <w:lastRenderedPageBreak/>
        <w:t>to increase the systemic exposure of the calcium channel antagonists. Frequent monitoring for adverse events is recommended.</w:t>
      </w:r>
    </w:p>
    <w:p w14:paraId="17265FF9"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Celecoxib: </w:t>
      </w:r>
      <w:r w:rsidRPr="00564B42">
        <w:rPr>
          <w:rFonts w:ascii="Times New Roman" w:hAnsi="Times New Roman" w:cs="Times New Roman"/>
          <w:sz w:val="24"/>
          <w:szCs w:val="24"/>
        </w:rPr>
        <w:t xml:space="preserve">During concomitant treatment with fluconazole (200 mg daily) and celecoxib (200 mg) the celecoxib </w:t>
      </w:r>
      <w:r w:rsidRPr="00564B42">
        <w:rPr>
          <w:rFonts w:ascii="Times New Roman" w:hAnsi="Times New Roman" w:cs="Times New Roman"/>
          <w:spacing w:val="2"/>
          <w:sz w:val="24"/>
          <w:szCs w:val="24"/>
        </w:rPr>
        <w:t>C</w:t>
      </w:r>
      <w:r w:rsidRPr="00564B42">
        <w:rPr>
          <w:rFonts w:ascii="Times New Roman" w:hAnsi="Times New Roman" w:cs="Times New Roman"/>
          <w:spacing w:val="2"/>
          <w:sz w:val="24"/>
          <w:szCs w:val="24"/>
          <w:vertAlign w:val="subscript"/>
        </w:rPr>
        <w:t>max</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and AUC increased by 68% and 134%, respectively. Half of the celecoxib dose may be necessary when combined with</w:t>
      </w:r>
      <w:r w:rsidRPr="00564B42">
        <w:rPr>
          <w:rFonts w:ascii="Times New Roman" w:hAnsi="Times New Roman" w:cs="Times New Roman"/>
          <w:spacing w:val="-9"/>
          <w:sz w:val="24"/>
          <w:szCs w:val="24"/>
        </w:rPr>
        <w:t xml:space="preserve"> </w:t>
      </w:r>
      <w:r w:rsidRPr="00564B42">
        <w:rPr>
          <w:rFonts w:ascii="Times New Roman" w:hAnsi="Times New Roman" w:cs="Times New Roman"/>
          <w:sz w:val="24"/>
          <w:szCs w:val="24"/>
        </w:rPr>
        <w:t>fluconazole.</w:t>
      </w:r>
    </w:p>
    <w:p w14:paraId="363C8D4D" w14:textId="77777777" w:rsidR="00BB20DE" w:rsidRPr="00564B42" w:rsidRDefault="00BB20DE" w:rsidP="00564B42">
      <w:pPr>
        <w:pStyle w:val="BodyText"/>
        <w:spacing w:before="1"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Cyclophosphamide: </w:t>
      </w:r>
      <w:r w:rsidRPr="00564B42">
        <w:rPr>
          <w:rFonts w:ascii="Times New Roman" w:hAnsi="Times New Roman" w:cs="Times New Roman"/>
          <w:sz w:val="24"/>
          <w:szCs w:val="24"/>
        </w:rPr>
        <w:t>Combination therapy with cyclophosphamide and fluconazole results in an increase in serum bilirubin and serum creatinine. The combination may be used while taking increased consideration to the risk of increased serum bilirubin and serum creatinine.</w:t>
      </w:r>
    </w:p>
    <w:p w14:paraId="4C05A581"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Fentanyl: </w:t>
      </w:r>
      <w:r w:rsidRPr="00564B42">
        <w:rPr>
          <w:rFonts w:ascii="Times New Roman" w:hAnsi="Times New Roman" w:cs="Times New Roman"/>
          <w:sz w:val="24"/>
          <w:szCs w:val="24"/>
        </w:rPr>
        <w:t>One fatal case of fentanyl intoxication due to possible fentanyl fluconazole interaction was reported. Furthermore, it was shown in healthy volunteers that fluconazole delayed the elimination of fentanyl significantly. Elevated fentanyl concentration may lead to respiratory depression. Patients should be monitored closely for the potential risk of respiratory depression. Dosage adjustment of fentanyl may be necessary.</w:t>
      </w:r>
    </w:p>
    <w:p w14:paraId="3D26DFFE" w14:textId="77777777" w:rsidR="00BB20DE" w:rsidRPr="00564B42" w:rsidRDefault="00BB20DE" w:rsidP="00564B42">
      <w:pPr>
        <w:pStyle w:val="BodyText"/>
        <w:spacing w:before="90"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HMG CoA reductase inhibitors: </w:t>
      </w:r>
      <w:r w:rsidRPr="00564B42">
        <w:rPr>
          <w:rFonts w:ascii="Times New Roman" w:hAnsi="Times New Roman" w:cs="Times New Roman"/>
          <w:sz w:val="24"/>
          <w:szCs w:val="24"/>
        </w:rPr>
        <w:t>The risk of myopathy and rhabdomyolysis increases when fluconazole is coadministered with HMG-CoA reductase inhibitors metabolised through CYP3A4, such as atorvastatin and simvastatin, or through CYP2C9, such as fluvastatin. If concomitant therapy is necessary, the patient should be observed for symptoms of myopathy and rhabdomyolysis and creatine kinase should be monitored. HMG-CoA reductase inhibitors should be discontinued if a marked increase in creatine kinase is observed or myopathy/rhabdomyolysis is diagnosed or suspected.</w:t>
      </w:r>
    </w:p>
    <w:p w14:paraId="176BED1E" w14:textId="77777777" w:rsidR="00BB20DE" w:rsidRPr="00564B42" w:rsidRDefault="00BB20DE" w:rsidP="00564B42">
      <w:pPr>
        <w:pStyle w:val="Heading1"/>
        <w:spacing w:before="4"/>
        <w:ind w:left="-270" w:right="-333"/>
        <w:jc w:val="both"/>
      </w:pPr>
      <w:r w:rsidRPr="00564B42">
        <w:t>Immunosuppresors (i.e. ciclosporin, everolimus, sirolimus and tacrolimus)</w:t>
      </w:r>
    </w:p>
    <w:p w14:paraId="22744336" w14:textId="77777777" w:rsidR="00BB20DE" w:rsidRPr="00564B42" w:rsidRDefault="00BB20DE" w:rsidP="00564B42">
      <w:pPr>
        <w:pStyle w:val="BodyText"/>
        <w:spacing w:before="134"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Ciclosporin: </w:t>
      </w:r>
      <w:r w:rsidRPr="00564B42">
        <w:rPr>
          <w:rFonts w:ascii="Times New Roman" w:hAnsi="Times New Roman" w:cs="Times New Roman"/>
          <w:sz w:val="24"/>
          <w:szCs w:val="24"/>
        </w:rPr>
        <w:t>Fluconazole significantly increases the concentration and AUC of ciclosporin. During concomitant treatment with fluconazole 200 mg daily and ciclosporin (2.7 mg/kg/day) there was a 1.8-fold increase in ciclosporin AUC. This combination may be used by reducing the dose of ciclosporin depending on ciclosporin concentration.</w:t>
      </w:r>
    </w:p>
    <w:p w14:paraId="614321A4" w14:textId="77777777" w:rsidR="00BB20DE" w:rsidRPr="00564B42" w:rsidRDefault="00BB20DE" w:rsidP="00564B42">
      <w:pPr>
        <w:pStyle w:val="BodyText"/>
        <w:spacing w:before="1"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Everolimus: </w:t>
      </w:r>
      <w:r w:rsidRPr="00564B42">
        <w:rPr>
          <w:rFonts w:ascii="Times New Roman" w:hAnsi="Times New Roman" w:cs="Times New Roman"/>
          <w:sz w:val="24"/>
          <w:szCs w:val="24"/>
        </w:rPr>
        <w:t xml:space="preserve">Although not studied </w:t>
      </w:r>
      <w:r w:rsidRPr="00564B42">
        <w:rPr>
          <w:rFonts w:ascii="Times New Roman" w:hAnsi="Times New Roman" w:cs="Times New Roman"/>
          <w:i/>
          <w:sz w:val="24"/>
          <w:szCs w:val="24"/>
        </w:rPr>
        <w:t xml:space="preserve">in vivo </w:t>
      </w:r>
      <w:r w:rsidRPr="00564B42">
        <w:rPr>
          <w:rFonts w:ascii="Times New Roman" w:hAnsi="Times New Roman" w:cs="Times New Roman"/>
          <w:sz w:val="24"/>
          <w:szCs w:val="24"/>
        </w:rPr>
        <w:t xml:space="preserve">or </w:t>
      </w:r>
      <w:r w:rsidRPr="00564B42">
        <w:rPr>
          <w:rFonts w:ascii="Times New Roman" w:hAnsi="Times New Roman" w:cs="Times New Roman"/>
          <w:i/>
          <w:sz w:val="24"/>
          <w:szCs w:val="24"/>
        </w:rPr>
        <w:t>in vitro</w:t>
      </w:r>
      <w:r w:rsidRPr="00564B42">
        <w:rPr>
          <w:rFonts w:ascii="Times New Roman" w:hAnsi="Times New Roman" w:cs="Times New Roman"/>
          <w:sz w:val="24"/>
          <w:szCs w:val="24"/>
        </w:rPr>
        <w:t>, fluconazole may increase serum concentrations of everolimus through inhibition of CYP3A4.</w:t>
      </w:r>
    </w:p>
    <w:p w14:paraId="676E852A"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Sirolimus: </w:t>
      </w:r>
      <w:r w:rsidRPr="00564B42">
        <w:rPr>
          <w:rFonts w:ascii="Times New Roman" w:hAnsi="Times New Roman" w:cs="Times New Roman"/>
          <w:sz w:val="24"/>
          <w:szCs w:val="24"/>
        </w:rPr>
        <w:t>Fluconazole increases plasma concentrations of sirolimus presumably by inhibiting the metabolism of sirolimus via CYP3A4 and P-glycoprotein. This combination may be used with a dose adjustment of sirolimus depending on the effect/concentration measurements.</w:t>
      </w:r>
    </w:p>
    <w:p w14:paraId="15F78E60"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Tacrolimus: </w:t>
      </w:r>
      <w:r w:rsidRPr="00564B42">
        <w:rPr>
          <w:rFonts w:ascii="Times New Roman" w:hAnsi="Times New Roman" w:cs="Times New Roman"/>
          <w:sz w:val="24"/>
          <w:szCs w:val="24"/>
        </w:rPr>
        <w:t>Fluconazole may increase the serum concentrations of orally administered tacrolimus up to 5 times due to inhibition of tacrolimus metabolism through CYP3A4 in the intestines. No significant pharmacokinetic changes have been observed when tacrolimus is given intravenously. Increased tacrolimus levels have been associated with nephrotoxicity. Dose of orally administered tacrolimus should be decreased depending on tacrolimus concentration.</w:t>
      </w:r>
    </w:p>
    <w:p w14:paraId="551DC4DA"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Losartan: </w:t>
      </w:r>
      <w:r w:rsidRPr="00564B42">
        <w:rPr>
          <w:rFonts w:ascii="Times New Roman" w:hAnsi="Times New Roman" w:cs="Times New Roman"/>
          <w:sz w:val="24"/>
          <w:szCs w:val="24"/>
        </w:rPr>
        <w:t>Fluconazole inhibits the metabolism of losartan to its active metabolite (E-31 74) which is responsible for most of the angiotensin II-receptor antagonism which occurs during treatment with losartan. Patients should have their blood pressure monitored continuously.</w:t>
      </w:r>
    </w:p>
    <w:p w14:paraId="7215C013"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Methadone: </w:t>
      </w:r>
      <w:r w:rsidRPr="00564B42">
        <w:rPr>
          <w:rFonts w:ascii="Times New Roman" w:hAnsi="Times New Roman" w:cs="Times New Roman"/>
          <w:sz w:val="24"/>
          <w:szCs w:val="24"/>
        </w:rPr>
        <w:t>Fluconazole may enhance the serum concentration of methadone. Dose adjustment of methadone may be necessary.</w:t>
      </w:r>
    </w:p>
    <w:p w14:paraId="477693C9"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lastRenderedPageBreak/>
        <w:t xml:space="preserve">Non-steroidal anti-inflammatory drugs: </w:t>
      </w:r>
      <w:r w:rsidRPr="00564B42">
        <w:rPr>
          <w:rFonts w:ascii="Times New Roman" w:hAnsi="Times New Roman" w:cs="Times New Roman"/>
          <w:sz w:val="24"/>
          <w:szCs w:val="24"/>
        </w:rPr>
        <w:t xml:space="preserve">The </w:t>
      </w:r>
      <w:r w:rsidRPr="00564B42">
        <w:rPr>
          <w:rFonts w:ascii="Times New Roman" w:hAnsi="Times New Roman" w:cs="Times New Roman"/>
          <w:spacing w:val="2"/>
          <w:sz w:val="24"/>
          <w:szCs w:val="24"/>
        </w:rPr>
        <w:t>C</w:t>
      </w:r>
      <w:r w:rsidRPr="00564B42">
        <w:rPr>
          <w:rFonts w:ascii="Times New Roman" w:hAnsi="Times New Roman" w:cs="Times New Roman"/>
          <w:spacing w:val="2"/>
          <w:sz w:val="24"/>
          <w:szCs w:val="24"/>
          <w:vertAlign w:val="subscript"/>
        </w:rPr>
        <w:t>max</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 xml:space="preserve">and AUC of flurbiprofen was increased by 23% and 81%, respectively, when coadministered with fluconazole compared to administration of flurbiprofen alone. Similarly, the </w:t>
      </w:r>
      <w:r w:rsidRPr="00564B42">
        <w:rPr>
          <w:rFonts w:ascii="Times New Roman" w:hAnsi="Times New Roman" w:cs="Times New Roman"/>
          <w:spacing w:val="3"/>
          <w:sz w:val="24"/>
          <w:szCs w:val="24"/>
        </w:rPr>
        <w:t>C</w:t>
      </w:r>
      <w:r w:rsidRPr="00564B42">
        <w:rPr>
          <w:rFonts w:ascii="Times New Roman" w:hAnsi="Times New Roman" w:cs="Times New Roman"/>
          <w:spacing w:val="3"/>
          <w:sz w:val="24"/>
          <w:szCs w:val="24"/>
          <w:vertAlign w:val="subscript"/>
        </w:rPr>
        <w:t>max</w:t>
      </w:r>
      <w:r w:rsidRPr="00564B42">
        <w:rPr>
          <w:rFonts w:ascii="Times New Roman" w:hAnsi="Times New Roman" w:cs="Times New Roman"/>
          <w:spacing w:val="3"/>
          <w:sz w:val="24"/>
          <w:szCs w:val="24"/>
        </w:rPr>
        <w:t xml:space="preserve"> </w:t>
      </w:r>
      <w:r w:rsidRPr="00564B42">
        <w:rPr>
          <w:rFonts w:ascii="Times New Roman" w:hAnsi="Times New Roman" w:cs="Times New Roman"/>
          <w:sz w:val="24"/>
          <w:szCs w:val="24"/>
        </w:rPr>
        <w:t>and AUC of the pharmacologically active isomer [S- (+)-ibuprofen] was increased by 15% and 82%, respectively, when fluconazole was coadministered with racemic ibuprofen (400 mg) compared to administration of racemic ibuprofen</w:t>
      </w:r>
      <w:r w:rsidRPr="00564B42">
        <w:rPr>
          <w:rFonts w:ascii="Times New Roman" w:hAnsi="Times New Roman" w:cs="Times New Roman"/>
          <w:spacing w:val="-1"/>
          <w:sz w:val="24"/>
          <w:szCs w:val="24"/>
        </w:rPr>
        <w:t xml:space="preserve"> </w:t>
      </w:r>
      <w:r w:rsidRPr="00564B42">
        <w:rPr>
          <w:rFonts w:ascii="Times New Roman" w:hAnsi="Times New Roman" w:cs="Times New Roman"/>
          <w:sz w:val="24"/>
          <w:szCs w:val="24"/>
        </w:rPr>
        <w:t>alone.</w:t>
      </w:r>
    </w:p>
    <w:p w14:paraId="53F21CC2" w14:textId="77777777" w:rsidR="00BB20DE" w:rsidRPr="00564B42" w:rsidRDefault="00BB20DE" w:rsidP="00564B42">
      <w:pPr>
        <w:pStyle w:val="BodyText"/>
        <w:spacing w:before="90" w:line="24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t xml:space="preserve"> Although not specifically studied, fluconazole has the potential to increase the systemic exposure of other NSAIDs that are metabolized by CYP2C9 (e.g. naproxen, lornoxicam, meloxicam, diclofenac). Frequent monitoring for adverse events and toxicity related to NSAIDs is recommended. Adjustment of dose of NSAIDs may be needed.</w:t>
      </w:r>
    </w:p>
    <w:p w14:paraId="0A4612C6"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Phenytoin: </w:t>
      </w:r>
      <w:r w:rsidRPr="00564B42">
        <w:rPr>
          <w:rFonts w:ascii="Times New Roman" w:hAnsi="Times New Roman" w:cs="Times New Roman"/>
          <w:sz w:val="24"/>
          <w:szCs w:val="24"/>
        </w:rPr>
        <w:t>Fluconazole inhibits the hepatic metabolism of phenytoin. Concomitant repeated administration of 200 mg fluconazole and 250 mg phenytoin intravenously, caused an increase of the phenytoin AUC24 by 75% and C</w:t>
      </w:r>
      <w:r w:rsidRPr="00564B42">
        <w:rPr>
          <w:rFonts w:ascii="Times New Roman" w:hAnsi="Times New Roman" w:cs="Times New Roman"/>
          <w:sz w:val="24"/>
          <w:szCs w:val="24"/>
          <w:vertAlign w:val="subscript"/>
        </w:rPr>
        <w:t>min</w:t>
      </w:r>
      <w:r w:rsidRPr="00564B42">
        <w:rPr>
          <w:rFonts w:ascii="Times New Roman" w:hAnsi="Times New Roman" w:cs="Times New Roman"/>
          <w:sz w:val="24"/>
          <w:szCs w:val="24"/>
        </w:rPr>
        <w:t xml:space="preserve"> by 128%. With coadministration, serum phenytoin concentration levels should be monitored in order to avoid phenytoin toxicity.</w:t>
      </w:r>
    </w:p>
    <w:p w14:paraId="3D4AF6AB" w14:textId="77777777" w:rsidR="00BB20DE" w:rsidRPr="00564B42" w:rsidRDefault="00BB20DE" w:rsidP="00564B42">
      <w:pPr>
        <w:pStyle w:val="BodyText"/>
        <w:spacing w:before="1"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Prednisone: </w:t>
      </w:r>
      <w:r w:rsidRPr="00564B42">
        <w:rPr>
          <w:rFonts w:ascii="Times New Roman" w:hAnsi="Times New Roman" w:cs="Times New Roman"/>
          <w:sz w:val="24"/>
          <w:szCs w:val="24"/>
        </w:rPr>
        <w:t>There was a case report that a liver-transplanted patient treated with prednisone developed acute adrenal cortex insufficiency when a three month therapy with fluconazole was discontinued. The discontinuation of fluconazole presumably caused an enhanced CYP3A4 activity which led to increased metabolism of prednisone. Patients on long-term treatment with fluconazole and prednisone should be carefully monitored for adrenal cortex insufficiency when fluconazole is discontinued.</w:t>
      </w:r>
    </w:p>
    <w:p w14:paraId="7FE5D58F"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Rifabutin: </w:t>
      </w:r>
      <w:r w:rsidRPr="00564B42">
        <w:rPr>
          <w:rFonts w:ascii="Times New Roman" w:hAnsi="Times New Roman" w:cs="Times New Roman"/>
          <w:sz w:val="24"/>
          <w:szCs w:val="24"/>
        </w:rPr>
        <w:t xml:space="preserve">Fluconazole increases serum concentrations of rifabutin, leading to increase in the AUC of rifabutin up to 80%. There have been reports of uveitis in patients to whom fluconazole and rifabutin were coadministered. </w:t>
      </w:r>
      <w:r w:rsidRPr="00564B42">
        <w:rPr>
          <w:rFonts w:ascii="Times New Roman" w:hAnsi="Times New Roman" w:cs="Times New Roman"/>
          <w:spacing w:val="-3"/>
          <w:sz w:val="24"/>
          <w:szCs w:val="24"/>
        </w:rPr>
        <w:t xml:space="preserve">In </w:t>
      </w:r>
      <w:r w:rsidRPr="00564B42">
        <w:rPr>
          <w:rFonts w:ascii="Times New Roman" w:hAnsi="Times New Roman" w:cs="Times New Roman"/>
          <w:sz w:val="24"/>
          <w:szCs w:val="24"/>
        </w:rPr>
        <w:t>combination therapy, symptoms of rifabutin toxicity should be taken into</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consideration.</w:t>
      </w:r>
    </w:p>
    <w:p w14:paraId="2F3ECE2E"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Saquinavir: </w:t>
      </w:r>
      <w:r w:rsidRPr="00564B42">
        <w:rPr>
          <w:rFonts w:ascii="Times New Roman" w:hAnsi="Times New Roman" w:cs="Times New Roman"/>
          <w:sz w:val="24"/>
          <w:szCs w:val="24"/>
        </w:rPr>
        <w:t xml:space="preserve">Fluconazole increases the AUC and </w:t>
      </w:r>
      <w:r w:rsidRPr="00564B42">
        <w:rPr>
          <w:rFonts w:ascii="Times New Roman" w:hAnsi="Times New Roman" w:cs="Times New Roman"/>
          <w:spacing w:val="2"/>
          <w:sz w:val="24"/>
          <w:szCs w:val="24"/>
        </w:rPr>
        <w:t>C</w:t>
      </w:r>
      <w:r w:rsidRPr="00564B42">
        <w:rPr>
          <w:rFonts w:ascii="Times New Roman" w:hAnsi="Times New Roman" w:cs="Times New Roman"/>
          <w:spacing w:val="2"/>
          <w:sz w:val="24"/>
          <w:szCs w:val="24"/>
          <w:vertAlign w:val="subscript"/>
        </w:rPr>
        <w:t>max</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of saquinavir with approximately 50% and 55% respectively, due to inhibition of saquinavir's hepatic metabolism by CYP3A4 and inhibition of P-glycoprotein. Interaction with saquinavir/ritonavir has not been studied and might be more marked. Dose adjustment of saquinavir may be</w:t>
      </w:r>
      <w:r w:rsidRPr="00564B42">
        <w:rPr>
          <w:rFonts w:ascii="Times New Roman" w:hAnsi="Times New Roman" w:cs="Times New Roman"/>
          <w:spacing w:val="-10"/>
          <w:sz w:val="24"/>
          <w:szCs w:val="24"/>
        </w:rPr>
        <w:t xml:space="preserve"> </w:t>
      </w:r>
      <w:r w:rsidRPr="00564B42">
        <w:rPr>
          <w:rFonts w:ascii="Times New Roman" w:hAnsi="Times New Roman" w:cs="Times New Roman"/>
          <w:sz w:val="24"/>
          <w:szCs w:val="24"/>
        </w:rPr>
        <w:t>necessary.</w:t>
      </w:r>
    </w:p>
    <w:p w14:paraId="17787EAC"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Sulfonylureas: </w:t>
      </w:r>
      <w:r w:rsidRPr="00564B42">
        <w:rPr>
          <w:rFonts w:ascii="Times New Roman" w:hAnsi="Times New Roman" w:cs="Times New Roman"/>
          <w:sz w:val="24"/>
          <w:szCs w:val="24"/>
        </w:rPr>
        <w:t>Fluconazole has been shown to prolong the serum half-life of concomitantly administered oral sulfonylureas (e.g., chlorpropamide, glibenclamide, glipizide, tolbutamide) in healthy volunteers. Frequent monitoring of blood glucose and appropriate reduction of sulfonylurea dose is recommended during coadministration.</w:t>
      </w:r>
    </w:p>
    <w:p w14:paraId="04A05CA9"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Theophylline: </w:t>
      </w:r>
      <w:r w:rsidRPr="00564B42">
        <w:rPr>
          <w:rFonts w:ascii="Times New Roman" w:hAnsi="Times New Roman" w:cs="Times New Roman"/>
          <w:sz w:val="24"/>
          <w:szCs w:val="24"/>
        </w:rPr>
        <w:t>In a placebo controlled interaction study, the administration of fluconazole 200 mg for 14 days resulted in an 18% decrease in the mean plasma clearance rate of theophylline. Patients who are receiving high dose theophylline or who are otherwise at increased risk for</w:t>
      </w:r>
    </w:p>
    <w:p w14:paraId="3A4AA26D" w14:textId="77777777" w:rsidR="00BB20DE" w:rsidRPr="00564B42" w:rsidRDefault="00BB20DE" w:rsidP="00564B42">
      <w:pPr>
        <w:pStyle w:val="BodyText"/>
        <w:spacing w:before="90" w:line="240" w:lineRule="auto"/>
        <w:ind w:left="-270" w:right="-333"/>
        <w:jc w:val="both"/>
        <w:rPr>
          <w:rFonts w:ascii="Times New Roman" w:hAnsi="Times New Roman" w:cs="Times New Roman"/>
          <w:sz w:val="24"/>
          <w:szCs w:val="24"/>
        </w:rPr>
      </w:pPr>
      <w:r w:rsidRPr="00564B42">
        <w:rPr>
          <w:rFonts w:ascii="Times New Roman" w:hAnsi="Times New Roman" w:cs="Times New Roman"/>
          <w:sz w:val="24"/>
          <w:szCs w:val="24"/>
        </w:rPr>
        <w:t>theophylline toxicity should be observed for signs of theophylline toxicity while receiving fluconazole. Therapy should be modified if signs of toxicity develop.</w:t>
      </w:r>
    </w:p>
    <w:p w14:paraId="5C460C22"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Vinca alkaloids: </w:t>
      </w:r>
      <w:r w:rsidRPr="00564B42">
        <w:rPr>
          <w:rFonts w:ascii="Times New Roman" w:hAnsi="Times New Roman" w:cs="Times New Roman"/>
          <w:sz w:val="24"/>
          <w:szCs w:val="24"/>
        </w:rPr>
        <w:t>Although not studied, fluconazole may increase the plasma levels of the vinca alkaloids (e.g. vincristine and vinblastine) and lead to neurotoxicity, which is possibly due to an inhibitory effect on CYP3A4.</w:t>
      </w:r>
    </w:p>
    <w:p w14:paraId="064C5AB5" w14:textId="77777777"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Vitamin A: </w:t>
      </w:r>
      <w:r w:rsidRPr="00564B42">
        <w:rPr>
          <w:rFonts w:ascii="Times New Roman" w:hAnsi="Times New Roman" w:cs="Times New Roman"/>
          <w:sz w:val="24"/>
          <w:szCs w:val="24"/>
        </w:rPr>
        <w:t xml:space="preserve">Based on a case-report in one patient receiving combination therapy with all-trans- retinoid acid (an acid form of vitamin A) and fluconazole, CNS related undesirable effects have developed in the form of pseudotumour </w:t>
      </w:r>
      <w:r w:rsidRPr="00564B42">
        <w:rPr>
          <w:rFonts w:ascii="Times New Roman" w:hAnsi="Times New Roman" w:cs="Times New Roman"/>
          <w:i/>
          <w:sz w:val="24"/>
          <w:szCs w:val="24"/>
        </w:rPr>
        <w:t>cerebri</w:t>
      </w:r>
      <w:r w:rsidRPr="00564B42">
        <w:rPr>
          <w:rFonts w:ascii="Times New Roman" w:hAnsi="Times New Roman" w:cs="Times New Roman"/>
          <w:sz w:val="24"/>
          <w:szCs w:val="24"/>
        </w:rPr>
        <w:t xml:space="preserve">, which disappeared after discontinuation of </w:t>
      </w:r>
      <w:r w:rsidRPr="00564B42">
        <w:rPr>
          <w:rFonts w:ascii="Times New Roman" w:hAnsi="Times New Roman" w:cs="Times New Roman"/>
          <w:sz w:val="24"/>
          <w:szCs w:val="24"/>
        </w:rPr>
        <w:lastRenderedPageBreak/>
        <w:t>fluconazole treatment. This combination may be used but the incidence of CNS related undesirable effects should be borne in mind.</w:t>
      </w:r>
    </w:p>
    <w:p w14:paraId="3A4089E0" w14:textId="77777777" w:rsidR="00BB20DE" w:rsidRPr="00564B42" w:rsidRDefault="00BB20DE" w:rsidP="00564B42">
      <w:pPr>
        <w:pStyle w:val="BodyText"/>
        <w:spacing w:before="1"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Voriconazole: </w:t>
      </w:r>
      <w:r w:rsidRPr="00564B42">
        <w:rPr>
          <w:rFonts w:ascii="Times New Roman" w:hAnsi="Times New Roman" w:cs="Times New Roman"/>
          <w:sz w:val="24"/>
          <w:szCs w:val="24"/>
        </w:rPr>
        <w:t xml:space="preserve">(CYP2C9, CYP2C19 and CYP3A4 inhibitor): Coadministration of oral voriconazole (400 mg Q12h for 1 day, then 200 mg Q12h for 2.5 days) and oral fluconazole (400 mg on day 1, then 200 mg Q24h for 4 days) to 8 healthy male subjects resulted in an increase in </w:t>
      </w:r>
      <w:r w:rsidRPr="00564B42">
        <w:rPr>
          <w:rFonts w:ascii="Times New Roman" w:hAnsi="Times New Roman" w:cs="Times New Roman"/>
          <w:spacing w:val="2"/>
          <w:sz w:val="24"/>
          <w:szCs w:val="24"/>
        </w:rPr>
        <w:t>C</w:t>
      </w:r>
      <w:r w:rsidRPr="00564B42">
        <w:rPr>
          <w:rFonts w:ascii="Times New Roman" w:hAnsi="Times New Roman" w:cs="Times New Roman"/>
          <w:spacing w:val="2"/>
          <w:sz w:val="24"/>
          <w:szCs w:val="24"/>
          <w:vertAlign w:val="subscript"/>
        </w:rPr>
        <w:t>max</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 xml:space="preserve">and AUC of voriconazole by an average of 57% (90% CI: 20%, 107%) and 79% (90% CI: 40%, 128%), respectively. The reduced dose and/or frequency of voriconazole and fluconazole that would eliminate this effect have not been established. Monitoring for voriconazole associated adverse events is recommended if voriconazole is used sequentially after fluconazole. </w:t>
      </w:r>
      <w:r w:rsidRPr="00564B42">
        <w:rPr>
          <w:rFonts w:ascii="Times New Roman" w:hAnsi="Times New Roman" w:cs="Times New Roman"/>
          <w:b/>
          <w:sz w:val="24"/>
          <w:szCs w:val="24"/>
        </w:rPr>
        <w:t xml:space="preserve">Zidovudine: </w:t>
      </w:r>
      <w:r w:rsidRPr="00564B42">
        <w:rPr>
          <w:rFonts w:ascii="Times New Roman" w:hAnsi="Times New Roman" w:cs="Times New Roman"/>
          <w:sz w:val="24"/>
          <w:szCs w:val="24"/>
        </w:rPr>
        <w:t xml:space="preserve">Fluconazole increases </w:t>
      </w:r>
      <w:r w:rsidRPr="00564B42">
        <w:rPr>
          <w:rFonts w:ascii="Times New Roman" w:hAnsi="Times New Roman" w:cs="Times New Roman"/>
          <w:spacing w:val="2"/>
          <w:sz w:val="24"/>
          <w:szCs w:val="24"/>
        </w:rPr>
        <w:t>C</w:t>
      </w:r>
      <w:r w:rsidRPr="00564B42">
        <w:rPr>
          <w:rFonts w:ascii="Times New Roman" w:hAnsi="Times New Roman" w:cs="Times New Roman"/>
          <w:spacing w:val="2"/>
          <w:sz w:val="24"/>
          <w:szCs w:val="24"/>
          <w:vertAlign w:val="subscript"/>
        </w:rPr>
        <w:t>max</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and AUC of zidovudine by 84% and 74%, respectively, due to an approx. 45% decrease in oral zidovudine clearance. The half-life of zidovudine was likewise prolonged by approximately 128% following combination therapy with fluconazole. Patients receiving this combination should be monitored for the development of zidovudine- related adverse reactions. Dose reduction of zidovudine may be</w:t>
      </w:r>
      <w:r w:rsidRPr="00564B42">
        <w:rPr>
          <w:rFonts w:ascii="Times New Roman" w:hAnsi="Times New Roman" w:cs="Times New Roman"/>
          <w:spacing w:val="-10"/>
          <w:sz w:val="24"/>
          <w:szCs w:val="24"/>
        </w:rPr>
        <w:t xml:space="preserve"> </w:t>
      </w:r>
      <w:r w:rsidRPr="00564B42">
        <w:rPr>
          <w:rFonts w:ascii="Times New Roman" w:hAnsi="Times New Roman" w:cs="Times New Roman"/>
          <w:sz w:val="24"/>
          <w:szCs w:val="24"/>
        </w:rPr>
        <w:t>considered.</w:t>
      </w:r>
    </w:p>
    <w:p w14:paraId="73C7CC6E" w14:textId="3ED29491"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Azithromycin: </w:t>
      </w:r>
      <w:r w:rsidRPr="00564B42">
        <w:rPr>
          <w:rFonts w:ascii="Times New Roman" w:hAnsi="Times New Roman" w:cs="Times New Roman"/>
          <w:sz w:val="24"/>
          <w:szCs w:val="24"/>
        </w:rPr>
        <w:t>An open-label, randomized, three-way crossover study in 18 healthy subjects assessed the effect of a single 1200 mg oral dose of azithromycin on the pharmacokinetics of a single 800 mg oral dose of fluconazole as well as the effects of fluconazole on the pharmacokinetics of azithromycin. There was no significant pharmacokinetic interaction between fluconazole and azithromycin.</w:t>
      </w:r>
    </w:p>
    <w:p w14:paraId="3A8402C9" w14:textId="77777777" w:rsidR="00BB20DE" w:rsidRPr="00564B42" w:rsidRDefault="00BB20DE" w:rsidP="00564B42">
      <w:pPr>
        <w:pStyle w:val="BodyText"/>
        <w:spacing w:before="90"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Oral contraceptives: </w:t>
      </w:r>
      <w:r w:rsidRPr="00564B42">
        <w:rPr>
          <w:rFonts w:ascii="Times New Roman" w:hAnsi="Times New Roman" w:cs="Times New Roman"/>
          <w:sz w:val="24"/>
          <w:szCs w:val="24"/>
        </w:rPr>
        <w:t>Two pharmacokinetic studies with a combined oral contraceptive have been performed using multiple doses of fluconazole. There were no relevant effects on hormone level in the 50 mg fluconazole study, while at 200 mg daily, the AUCs of ethinyl estradiol and levonorgestrel were increased 40% and 24%, respectively. Thus, multiple dose use of fluconazole at these doses is unlikely to have an effect on the efficacy of the combined oral contraceptive.</w:t>
      </w:r>
    </w:p>
    <w:p w14:paraId="0C6FF9E6" w14:textId="7F643F0A" w:rsidR="00BB20DE" w:rsidRPr="00564B42" w:rsidRDefault="00BB20DE" w:rsidP="00564B42">
      <w:pPr>
        <w:pStyle w:val="BodyText"/>
        <w:spacing w:line="240" w:lineRule="auto"/>
        <w:ind w:left="-27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Ivacaftor: </w:t>
      </w:r>
      <w:r w:rsidRPr="00564B42">
        <w:rPr>
          <w:rFonts w:ascii="Times New Roman" w:hAnsi="Times New Roman" w:cs="Times New Roman"/>
          <w:sz w:val="24"/>
          <w:szCs w:val="24"/>
        </w:rPr>
        <w:t>Co-administration with ivacaftor, a cystic fibrosis transmembrane conductance regulator (CFTR) potentiator, increased ivacaftor exposure by 3-fold and hydroxymethyl- ivacaftor (M1) exposure by 1.9-fold. A reduction of the ivacaftor dose to 150 mg once daily is recommended for patients taking concomitant moderate CYP3A inhibitors, such as fluconazole and erythromycin.</w:t>
      </w:r>
    </w:p>
    <w:p w14:paraId="2410F2C2" w14:textId="77777777" w:rsidR="001E07C6" w:rsidRPr="00564B42" w:rsidRDefault="001E07C6" w:rsidP="00564B42">
      <w:pPr>
        <w:autoSpaceDE w:val="0"/>
        <w:autoSpaceDN w:val="0"/>
        <w:adjustRightInd w:val="0"/>
        <w:spacing w:after="0"/>
        <w:ind w:left="-360" w:right="-333"/>
        <w:jc w:val="both"/>
        <w:rPr>
          <w:rFonts w:ascii="Times New Roman" w:hAnsi="Times New Roman" w:cs="Times New Roman"/>
          <w:sz w:val="14"/>
          <w:szCs w:val="14"/>
          <w:highlight w:val="yellow"/>
        </w:rPr>
      </w:pPr>
    </w:p>
    <w:p w14:paraId="393DAFA7" w14:textId="77777777" w:rsidR="00B7586C" w:rsidRPr="00564B42" w:rsidRDefault="005457AB"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4.6 P</w:t>
      </w:r>
      <w:r w:rsidR="00B7586C" w:rsidRPr="00564B42">
        <w:rPr>
          <w:rFonts w:ascii="Times New Roman" w:hAnsi="Times New Roman" w:cs="Times New Roman"/>
          <w:b/>
          <w:sz w:val="24"/>
          <w:szCs w:val="24"/>
        </w:rPr>
        <w:t>regnancy and lactation</w:t>
      </w:r>
    </w:p>
    <w:p w14:paraId="43D36AED" w14:textId="77777777" w:rsidR="00BB20DE" w:rsidRPr="00564B42" w:rsidRDefault="00BB20DE" w:rsidP="008131B7">
      <w:pPr>
        <w:pStyle w:val="BodyText"/>
        <w:spacing w:before="132" w:line="240" w:lineRule="auto"/>
        <w:ind w:left="-270" w:right="-423"/>
        <w:jc w:val="both"/>
        <w:rPr>
          <w:rFonts w:ascii="Times New Roman" w:hAnsi="Times New Roman" w:cs="Times New Roman"/>
          <w:sz w:val="24"/>
          <w:szCs w:val="24"/>
        </w:rPr>
      </w:pPr>
      <w:r w:rsidRPr="00564B42">
        <w:rPr>
          <w:rFonts w:ascii="Times New Roman" w:hAnsi="Times New Roman" w:cs="Times New Roman"/>
          <w:b/>
          <w:sz w:val="24"/>
          <w:szCs w:val="24"/>
        </w:rPr>
        <w:t xml:space="preserve">Pregnancy: </w:t>
      </w:r>
      <w:r w:rsidRPr="00564B42">
        <w:rPr>
          <w:rFonts w:ascii="Times New Roman" w:hAnsi="Times New Roman" w:cs="Times New Roman"/>
          <w:sz w:val="24"/>
          <w:szCs w:val="24"/>
        </w:rPr>
        <w:t>An observational study has suggested an increased risk of spontaneous abortion in women treated with fluconazole during the first trimester.</w:t>
      </w:r>
    </w:p>
    <w:p w14:paraId="20B9EF86" w14:textId="77777777" w:rsidR="00BB20DE" w:rsidRPr="00564B42" w:rsidRDefault="00BB20DE" w:rsidP="008131B7">
      <w:pPr>
        <w:pStyle w:val="BodyText"/>
        <w:spacing w:line="240" w:lineRule="auto"/>
        <w:ind w:left="-270" w:right="-423"/>
        <w:jc w:val="both"/>
        <w:rPr>
          <w:rFonts w:ascii="Times New Roman" w:hAnsi="Times New Roman" w:cs="Times New Roman"/>
          <w:sz w:val="24"/>
          <w:szCs w:val="24"/>
        </w:rPr>
      </w:pPr>
      <w:r w:rsidRPr="00564B42">
        <w:rPr>
          <w:rFonts w:ascii="Times New Roman" w:hAnsi="Times New Roman" w:cs="Times New Roman"/>
          <w:sz w:val="24"/>
          <w:szCs w:val="24"/>
        </w:rPr>
        <w:t>There have been reports of multiple congenital abnormalities (including brachycephalia, ears dysplasia, giant anterior fontanelle, femoral bowing and radio-humeral synostosis) in infants whose mothers were treated for at least three or more months with high doses (400-800 mg daily) of fluconazole for coccidioidomycosis. The relationship between fluconazole use and these events is unclear. Studies in animals have shown reproductive</w:t>
      </w:r>
      <w:r w:rsidRPr="00564B42">
        <w:rPr>
          <w:rFonts w:ascii="Times New Roman" w:hAnsi="Times New Roman" w:cs="Times New Roman"/>
          <w:spacing w:val="-7"/>
          <w:sz w:val="24"/>
          <w:szCs w:val="24"/>
        </w:rPr>
        <w:t xml:space="preserve"> </w:t>
      </w:r>
      <w:r w:rsidRPr="00564B42">
        <w:rPr>
          <w:rFonts w:ascii="Times New Roman" w:hAnsi="Times New Roman" w:cs="Times New Roman"/>
          <w:sz w:val="24"/>
          <w:szCs w:val="24"/>
        </w:rPr>
        <w:t>toxicity.</w:t>
      </w:r>
    </w:p>
    <w:p w14:paraId="1826B0F6" w14:textId="77777777" w:rsidR="00BB20DE" w:rsidRPr="00564B42" w:rsidRDefault="00BB20DE" w:rsidP="008131B7">
      <w:pPr>
        <w:pStyle w:val="BodyText"/>
        <w:spacing w:before="2" w:line="240" w:lineRule="auto"/>
        <w:ind w:left="-270" w:right="-423"/>
        <w:jc w:val="both"/>
        <w:rPr>
          <w:rFonts w:ascii="Times New Roman" w:hAnsi="Times New Roman" w:cs="Times New Roman"/>
          <w:sz w:val="24"/>
          <w:szCs w:val="24"/>
        </w:rPr>
      </w:pPr>
      <w:r w:rsidRPr="00564B42">
        <w:rPr>
          <w:rFonts w:ascii="Times New Roman" w:hAnsi="Times New Roman" w:cs="Times New Roman"/>
          <w:sz w:val="24"/>
          <w:szCs w:val="24"/>
        </w:rPr>
        <w:t>Fluconazole in standard doses and short-term treatments should not be used in pregnancy unless clearly necessary. Fluconazole in high dose and/or in prolonged regimens should not be used during pregnancy except for potentially life-threatening infections.</w:t>
      </w:r>
    </w:p>
    <w:p w14:paraId="1F5F9992" w14:textId="77777777" w:rsidR="00BB20DE" w:rsidRPr="00564B42" w:rsidRDefault="00BB20DE" w:rsidP="008131B7">
      <w:pPr>
        <w:pStyle w:val="BodyText"/>
        <w:spacing w:line="240" w:lineRule="auto"/>
        <w:ind w:left="-270" w:right="-423"/>
        <w:jc w:val="both"/>
        <w:rPr>
          <w:rFonts w:ascii="Times New Roman" w:hAnsi="Times New Roman" w:cs="Times New Roman"/>
          <w:sz w:val="24"/>
          <w:szCs w:val="24"/>
        </w:rPr>
      </w:pPr>
      <w:r w:rsidRPr="00564B42">
        <w:rPr>
          <w:rFonts w:ascii="Times New Roman" w:hAnsi="Times New Roman" w:cs="Times New Roman"/>
          <w:b/>
          <w:sz w:val="24"/>
          <w:szCs w:val="24"/>
        </w:rPr>
        <w:lastRenderedPageBreak/>
        <w:t xml:space="preserve">Breast-feeding: </w:t>
      </w:r>
      <w:r w:rsidRPr="00564B42">
        <w:rPr>
          <w:rFonts w:ascii="Times New Roman" w:hAnsi="Times New Roman" w:cs="Times New Roman"/>
          <w:sz w:val="24"/>
          <w:szCs w:val="24"/>
        </w:rPr>
        <w:t>Fluconazole passes into breast milk to reach concentrations lower than those in plasma. Breast-feeding may be maintained after a single use of a standard dose 200 mg fluconazole or less. Breast-feeding is not recommended after repeated use or after high dose fluconazole.</w:t>
      </w:r>
    </w:p>
    <w:p w14:paraId="22FEAFCC" w14:textId="6EC0276A" w:rsidR="00FF6929" w:rsidRPr="00564B42" w:rsidRDefault="00BB20DE" w:rsidP="008131B7">
      <w:pPr>
        <w:pStyle w:val="NormalWeb"/>
        <w:shd w:val="clear" w:color="auto" w:fill="FFFFFF"/>
        <w:spacing w:before="0" w:beforeAutospacing="0" w:after="0" w:afterAutospacing="0"/>
        <w:ind w:left="-360"/>
        <w:jc w:val="both"/>
      </w:pPr>
      <w:r w:rsidRPr="00564B42">
        <w:rPr>
          <w:b/>
        </w:rPr>
        <w:t xml:space="preserve">  Fertility: </w:t>
      </w:r>
      <w:r w:rsidRPr="00564B42">
        <w:t>Fluconazole did not affect the fertility of male or female rats</w:t>
      </w:r>
      <w:r w:rsidR="00540CA9" w:rsidRPr="00564B42">
        <w:t>.</w:t>
      </w:r>
    </w:p>
    <w:p w14:paraId="430C559C" w14:textId="77777777" w:rsidR="00BB20DE" w:rsidRPr="00564B42" w:rsidRDefault="00BB20DE" w:rsidP="00564B42">
      <w:pPr>
        <w:pStyle w:val="NormalWeb"/>
        <w:shd w:val="clear" w:color="auto" w:fill="FFFFFF"/>
        <w:spacing w:before="0" w:beforeAutospacing="0" w:after="0" w:afterAutospacing="0"/>
        <w:ind w:left="-360"/>
        <w:jc w:val="both"/>
      </w:pPr>
    </w:p>
    <w:p w14:paraId="7F83F80B"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4.7 Effects on ability to drive and use machines</w:t>
      </w:r>
    </w:p>
    <w:p w14:paraId="3CEAD1C8" w14:textId="77777777" w:rsidR="00BB20DE" w:rsidRPr="00564B42" w:rsidRDefault="00BB20DE" w:rsidP="008131B7">
      <w:pPr>
        <w:pStyle w:val="BodyText"/>
        <w:spacing w:before="134" w:line="240" w:lineRule="auto"/>
        <w:ind w:left="-360" w:right="-423"/>
        <w:jc w:val="both"/>
        <w:rPr>
          <w:rFonts w:ascii="Times New Roman" w:hAnsi="Times New Roman" w:cs="Times New Roman"/>
          <w:sz w:val="24"/>
          <w:szCs w:val="24"/>
        </w:rPr>
      </w:pPr>
      <w:r w:rsidRPr="00564B42">
        <w:rPr>
          <w:rFonts w:ascii="Times New Roman" w:hAnsi="Times New Roman" w:cs="Times New Roman"/>
          <w:sz w:val="24"/>
          <w:szCs w:val="24"/>
        </w:rPr>
        <w:t>No studies have been performed on the effects of Fluconazole capsules on the ability to drive or use machines.</w:t>
      </w:r>
    </w:p>
    <w:p w14:paraId="04CFB237" w14:textId="177EBB01" w:rsidR="00B35A7C" w:rsidRPr="00564B42" w:rsidRDefault="00BB20DE" w:rsidP="008131B7">
      <w:pPr>
        <w:shd w:val="clear" w:color="auto" w:fill="FFFFFF"/>
        <w:spacing w:after="143" w:line="240" w:lineRule="auto"/>
        <w:ind w:left="-360" w:right="-423"/>
        <w:jc w:val="both"/>
        <w:rPr>
          <w:rFonts w:ascii="Times New Roman" w:hAnsi="Times New Roman" w:cs="Times New Roman"/>
          <w:sz w:val="24"/>
          <w:szCs w:val="24"/>
          <w:shd w:val="clear" w:color="auto" w:fill="FFFFFF"/>
        </w:rPr>
      </w:pPr>
      <w:r w:rsidRPr="00564B42">
        <w:rPr>
          <w:rFonts w:ascii="Times New Roman" w:hAnsi="Times New Roman" w:cs="Times New Roman"/>
          <w:sz w:val="24"/>
          <w:szCs w:val="24"/>
        </w:rPr>
        <w:t>Patients should be warned about the potential for dizziness or seizures while taking Fluconazole capsules and should be advised not to drive or operate machines if any of these symptoms occur</w:t>
      </w:r>
      <w:r w:rsidR="00857ADF" w:rsidRPr="00564B42">
        <w:rPr>
          <w:rFonts w:ascii="Times New Roman" w:hAnsi="Times New Roman" w:cs="Times New Roman"/>
          <w:sz w:val="24"/>
          <w:szCs w:val="24"/>
        </w:rPr>
        <w:t>.</w:t>
      </w:r>
    </w:p>
    <w:p w14:paraId="2EF490F8" w14:textId="77777777" w:rsidR="001E07C6" w:rsidRPr="00564B42" w:rsidRDefault="001E07C6" w:rsidP="00564B42">
      <w:pPr>
        <w:autoSpaceDE w:val="0"/>
        <w:autoSpaceDN w:val="0"/>
        <w:adjustRightInd w:val="0"/>
        <w:spacing w:after="0"/>
        <w:ind w:left="-360" w:right="-333"/>
        <w:jc w:val="both"/>
        <w:rPr>
          <w:rFonts w:ascii="Times New Roman" w:hAnsi="Times New Roman" w:cs="Times New Roman"/>
          <w:sz w:val="2"/>
          <w:szCs w:val="2"/>
          <w:highlight w:val="yellow"/>
        </w:rPr>
      </w:pPr>
    </w:p>
    <w:p w14:paraId="776A3B47"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4.8 Undesirable effects</w:t>
      </w:r>
    </w:p>
    <w:p w14:paraId="68A9335D" w14:textId="77777777" w:rsidR="00540CA9" w:rsidRPr="008131B7" w:rsidRDefault="00540CA9" w:rsidP="008131B7">
      <w:pPr>
        <w:pStyle w:val="BodyText"/>
        <w:spacing w:before="134" w:line="240" w:lineRule="auto"/>
        <w:ind w:left="-270" w:right="-423"/>
        <w:jc w:val="both"/>
        <w:rPr>
          <w:rFonts w:ascii="Times New Roman" w:hAnsi="Times New Roman" w:cs="Times New Roman"/>
          <w:sz w:val="24"/>
          <w:szCs w:val="24"/>
        </w:rPr>
      </w:pPr>
      <w:r w:rsidRPr="008131B7">
        <w:rPr>
          <w:rFonts w:ascii="Times New Roman" w:hAnsi="Times New Roman" w:cs="Times New Roman"/>
          <w:sz w:val="24"/>
          <w:szCs w:val="24"/>
        </w:rPr>
        <w:t>The most frequently (&gt;1/10) reported adverse reactions are headache, abdominal pain, diarrhoea, nausea, vomiting, alanine aminotransferase increased, aspartate aminotransferase increased, blood alkaline phosphatase increased and rash.</w:t>
      </w:r>
    </w:p>
    <w:p w14:paraId="3E245A11" w14:textId="77777777" w:rsidR="00540CA9" w:rsidRPr="008131B7" w:rsidRDefault="00540CA9" w:rsidP="008131B7">
      <w:pPr>
        <w:pStyle w:val="BodyText"/>
        <w:spacing w:after="5" w:line="240" w:lineRule="auto"/>
        <w:ind w:left="-270" w:right="-423"/>
        <w:jc w:val="both"/>
        <w:rPr>
          <w:rFonts w:ascii="Times New Roman" w:hAnsi="Times New Roman" w:cs="Times New Roman"/>
          <w:sz w:val="24"/>
          <w:szCs w:val="24"/>
        </w:rPr>
      </w:pPr>
      <w:r w:rsidRPr="008131B7">
        <w:rPr>
          <w:rFonts w:ascii="Times New Roman" w:hAnsi="Times New Roman" w:cs="Times New Roman"/>
          <w:sz w:val="24"/>
          <w:szCs w:val="24"/>
        </w:rPr>
        <w:t>The following adverse reactions have been observed and reported during treatment with Diflucan with the following frequencies: Very common (≥1/10); common (≥1/100 to &lt;1/10); uncommon (≥1/1,000 to &lt;1/100); rare (≥1/10,000 to &lt;1/1,000); very rare (&lt;1/10,000), not known (cannot be estimated from the available data).</w:t>
      </w:r>
    </w:p>
    <w:tbl>
      <w:tblPr>
        <w:tblW w:w="993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6"/>
        <w:gridCol w:w="2347"/>
        <w:gridCol w:w="2357"/>
        <w:gridCol w:w="2501"/>
      </w:tblGrid>
      <w:tr w:rsidR="00564B42" w:rsidRPr="00564B42" w14:paraId="7F3A6E25" w14:textId="77777777" w:rsidTr="008131B7">
        <w:trPr>
          <w:trHeight w:val="275"/>
        </w:trPr>
        <w:tc>
          <w:tcPr>
            <w:tcW w:w="2726" w:type="dxa"/>
          </w:tcPr>
          <w:p w14:paraId="762C7071" w14:textId="77777777" w:rsidR="00540CA9" w:rsidRPr="00564B42" w:rsidRDefault="00540CA9" w:rsidP="00564B42">
            <w:pPr>
              <w:pStyle w:val="TableParagraph"/>
              <w:spacing w:line="256" w:lineRule="exact"/>
              <w:jc w:val="both"/>
              <w:rPr>
                <w:b/>
                <w:sz w:val="24"/>
              </w:rPr>
            </w:pPr>
            <w:r w:rsidRPr="00564B42">
              <w:rPr>
                <w:b/>
                <w:sz w:val="24"/>
              </w:rPr>
              <w:t>System Organ Class</w:t>
            </w:r>
          </w:p>
        </w:tc>
        <w:tc>
          <w:tcPr>
            <w:tcW w:w="2347" w:type="dxa"/>
          </w:tcPr>
          <w:p w14:paraId="21E2893A" w14:textId="77777777" w:rsidR="00540CA9" w:rsidRPr="00564B42" w:rsidRDefault="00540CA9" w:rsidP="00564B42">
            <w:pPr>
              <w:pStyle w:val="TableParagraph"/>
              <w:spacing w:line="256" w:lineRule="exact"/>
              <w:ind w:left="700"/>
              <w:jc w:val="both"/>
              <w:rPr>
                <w:b/>
                <w:sz w:val="24"/>
              </w:rPr>
            </w:pPr>
            <w:r w:rsidRPr="00564B42">
              <w:rPr>
                <w:b/>
                <w:sz w:val="24"/>
              </w:rPr>
              <w:t>Common</w:t>
            </w:r>
          </w:p>
        </w:tc>
        <w:tc>
          <w:tcPr>
            <w:tcW w:w="2357" w:type="dxa"/>
          </w:tcPr>
          <w:p w14:paraId="0AB73863" w14:textId="77777777" w:rsidR="00540CA9" w:rsidRPr="00564B42" w:rsidRDefault="00540CA9" w:rsidP="00564B42">
            <w:pPr>
              <w:pStyle w:val="TableParagraph"/>
              <w:spacing w:line="256" w:lineRule="exact"/>
              <w:ind w:left="583"/>
              <w:jc w:val="both"/>
              <w:rPr>
                <w:b/>
                <w:sz w:val="24"/>
              </w:rPr>
            </w:pPr>
            <w:r w:rsidRPr="00564B42">
              <w:rPr>
                <w:b/>
                <w:sz w:val="24"/>
              </w:rPr>
              <w:t>Uncommon</w:t>
            </w:r>
          </w:p>
        </w:tc>
        <w:tc>
          <w:tcPr>
            <w:tcW w:w="2501" w:type="dxa"/>
          </w:tcPr>
          <w:p w14:paraId="31FAD7ED" w14:textId="77777777" w:rsidR="00540CA9" w:rsidRPr="00564B42" w:rsidRDefault="00540CA9" w:rsidP="00564B42">
            <w:pPr>
              <w:pStyle w:val="TableParagraph"/>
              <w:spacing w:line="256" w:lineRule="exact"/>
              <w:ind w:left="974" w:right="970"/>
              <w:jc w:val="both"/>
              <w:rPr>
                <w:b/>
                <w:sz w:val="24"/>
              </w:rPr>
            </w:pPr>
            <w:r w:rsidRPr="00564B42">
              <w:rPr>
                <w:b/>
                <w:sz w:val="24"/>
              </w:rPr>
              <w:t>Rare</w:t>
            </w:r>
          </w:p>
        </w:tc>
      </w:tr>
      <w:tr w:rsidR="00564B42" w:rsidRPr="00564B42" w14:paraId="045DC063" w14:textId="77777777" w:rsidTr="008131B7">
        <w:trPr>
          <w:trHeight w:val="1103"/>
        </w:trPr>
        <w:tc>
          <w:tcPr>
            <w:tcW w:w="2726" w:type="dxa"/>
          </w:tcPr>
          <w:p w14:paraId="7FA0737B" w14:textId="77777777" w:rsidR="00540CA9" w:rsidRPr="00564B42" w:rsidRDefault="00540CA9" w:rsidP="008131B7">
            <w:pPr>
              <w:pStyle w:val="TableParagraph"/>
              <w:ind w:right="91"/>
              <w:rPr>
                <w:b/>
                <w:sz w:val="24"/>
              </w:rPr>
            </w:pPr>
            <w:r w:rsidRPr="00564B42">
              <w:rPr>
                <w:b/>
                <w:sz w:val="24"/>
              </w:rPr>
              <w:t>Blood and the lymphatic system disorders</w:t>
            </w:r>
          </w:p>
        </w:tc>
        <w:tc>
          <w:tcPr>
            <w:tcW w:w="2347" w:type="dxa"/>
          </w:tcPr>
          <w:p w14:paraId="497B2135" w14:textId="77777777" w:rsidR="00540CA9" w:rsidRPr="00564B42" w:rsidRDefault="00540CA9" w:rsidP="00564B42">
            <w:pPr>
              <w:pStyle w:val="TableParagraph"/>
              <w:ind w:left="0"/>
              <w:jc w:val="both"/>
              <w:rPr>
                <w:sz w:val="24"/>
              </w:rPr>
            </w:pPr>
          </w:p>
        </w:tc>
        <w:tc>
          <w:tcPr>
            <w:tcW w:w="2357" w:type="dxa"/>
          </w:tcPr>
          <w:p w14:paraId="13B5BAE9" w14:textId="77777777" w:rsidR="00540CA9" w:rsidRPr="00564B42" w:rsidRDefault="00540CA9" w:rsidP="00564B42">
            <w:pPr>
              <w:pStyle w:val="TableParagraph"/>
              <w:spacing w:line="268" w:lineRule="exact"/>
              <w:ind w:left="108"/>
              <w:jc w:val="both"/>
              <w:rPr>
                <w:sz w:val="24"/>
              </w:rPr>
            </w:pPr>
            <w:r w:rsidRPr="00564B42">
              <w:rPr>
                <w:sz w:val="24"/>
              </w:rPr>
              <w:t>Anaemia</w:t>
            </w:r>
          </w:p>
        </w:tc>
        <w:tc>
          <w:tcPr>
            <w:tcW w:w="2501" w:type="dxa"/>
          </w:tcPr>
          <w:p w14:paraId="3DD02927" w14:textId="77777777" w:rsidR="00540CA9" w:rsidRPr="00564B42" w:rsidRDefault="00540CA9" w:rsidP="00564B42">
            <w:pPr>
              <w:pStyle w:val="TableParagraph"/>
              <w:ind w:left="105" w:right="559"/>
              <w:jc w:val="both"/>
              <w:rPr>
                <w:sz w:val="24"/>
              </w:rPr>
            </w:pPr>
            <w:r w:rsidRPr="00564B42">
              <w:rPr>
                <w:sz w:val="24"/>
              </w:rPr>
              <w:t>Agranulocytosis, leukopenia, thrombocytopenia,</w:t>
            </w:r>
          </w:p>
          <w:p w14:paraId="75C792F5" w14:textId="77777777" w:rsidR="00540CA9" w:rsidRPr="00564B42" w:rsidRDefault="00540CA9" w:rsidP="00564B42">
            <w:pPr>
              <w:pStyle w:val="TableParagraph"/>
              <w:spacing w:line="264" w:lineRule="exact"/>
              <w:ind w:left="105"/>
              <w:jc w:val="both"/>
              <w:rPr>
                <w:sz w:val="24"/>
              </w:rPr>
            </w:pPr>
            <w:r w:rsidRPr="00564B42">
              <w:rPr>
                <w:sz w:val="24"/>
              </w:rPr>
              <w:t>neutropenia</w:t>
            </w:r>
          </w:p>
        </w:tc>
      </w:tr>
      <w:tr w:rsidR="00564B42" w:rsidRPr="00564B42" w14:paraId="6CAEBEF8" w14:textId="77777777" w:rsidTr="008131B7">
        <w:trPr>
          <w:trHeight w:val="551"/>
        </w:trPr>
        <w:tc>
          <w:tcPr>
            <w:tcW w:w="2726" w:type="dxa"/>
          </w:tcPr>
          <w:p w14:paraId="1BAA415A" w14:textId="3C8701EA" w:rsidR="00540CA9" w:rsidRPr="00564B42" w:rsidRDefault="00540CA9" w:rsidP="008131B7">
            <w:pPr>
              <w:pStyle w:val="TableParagraph"/>
              <w:tabs>
                <w:tab w:val="left" w:pos="1566"/>
              </w:tabs>
              <w:spacing w:line="276" w:lineRule="exact"/>
              <w:ind w:right="91"/>
              <w:rPr>
                <w:b/>
                <w:sz w:val="24"/>
              </w:rPr>
            </w:pPr>
            <w:r w:rsidRPr="00564B42">
              <w:rPr>
                <w:b/>
                <w:sz w:val="24"/>
              </w:rPr>
              <w:t>Immune</w:t>
            </w:r>
            <w:r w:rsidR="008131B7">
              <w:rPr>
                <w:b/>
                <w:sz w:val="24"/>
              </w:rPr>
              <w:t xml:space="preserve"> </w:t>
            </w:r>
            <w:r w:rsidRPr="00564B42">
              <w:rPr>
                <w:b/>
                <w:spacing w:val="-3"/>
                <w:sz w:val="24"/>
              </w:rPr>
              <w:t xml:space="preserve">system </w:t>
            </w:r>
            <w:r w:rsidRPr="00564B42">
              <w:rPr>
                <w:b/>
                <w:sz w:val="24"/>
              </w:rPr>
              <w:t>disorders</w:t>
            </w:r>
          </w:p>
        </w:tc>
        <w:tc>
          <w:tcPr>
            <w:tcW w:w="2347" w:type="dxa"/>
          </w:tcPr>
          <w:p w14:paraId="6D99D3B0" w14:textId="77777777" w:rsidR="00540CA9" w:rsidRPr="00564B42" w:rsidRDefault="00540CA9" w:rsidP="00564B42">
            <w:pPr>
              <w:pStyle w:val="TableParagraph"/>
              <w:ind w:left="0"/>
              <w:jc w:val="both"/>
              <w:rPr>
                <w:sz w:val="24"/>
              </w:rPr>
            </w:pPr>
          </w:p>
        </w:tc>
        <w:tc>
          <w:tcPr>
            <w:tcW w:w="2357" w:type="dxa"/>
          </w:tcPr>
          <w:p w14:paraId="415AF768" w14:textId="77777777" w:rsidR="00540CA9" w:rsidRPr="00564B42" w:rsidRDefault="00540CA9" w:rsidP="00564B42">
            <w:pPr>
              <w:pStyle w:val="TableParagraph"/>
              <w:ind w:left="0"/>
              <w:jc w:val="both"/>
              <w:rPr>
                <w:sz w:val="24"/>
              </w:rPr>
            </w:pPr>
          </w:p>
        </w:tc>
        <w:tc>
          <w:tcPr>
            <w:tcW w:w="2501" w:type="dxa"/>
          </w:tcPr>
          <w:p w14:paraId="59D21CFB" w14:textId="77777777" w:rsidR="00540CA9" w:rsidRPr="00564B42" w:rsidRDefault="00540CA9" w:rsidP="00564B42">
            <w:pPr>
              <w:pStyle w:val="TableParagraph"/>
              <w:spacing w:line="268" w:lineRule="exact"/>
              <w:ind w:left="105"/>
              <w:jc w:val="both"/>
              <w:rPr>
                <w:sz w:val="24"/>
              </w:rPr>
            </w:pPr>
            <w:r w:rsidRPr="00564B42">
              <w:rPr>
                <w:sz w:val="24"/>
              </w:rPr>
              <w:t>Anaphylaxis</w:t>
            </w:r>
          </w:p>
        </w:tc>
      </w:tr>
      <w:tr w:rsidR="00564B42" w:rsidRPr="00564B42" w14:paraId="0350A4D1" w14:textId="77777777" w:rsidTr="008131B7">
        <w:trPr>
          <w:trHeight w:val="827"/>
        </w:trPr>
        <w:tc>
          <w:tcPr>
            <w:tcW w:w="2726" w:type="dxa"/>
          </w:tcPr>
          <w:p w14:paraId="06E11E9E" w14:textId="0916C11F" w:rsidR="00540CA9" w:rsidRPr="00564B42" w:rsidRDefault="00540CA9" w:rsidP="008131B7">
            <w:pPr>
              <w:pStyle w:val="TableParagraph"/>
              <w:tabs>
                <w:tab w:val="left" w:pos="1874"/>
              </w:tabs>
              <w:ind w:right="91"/>
              <w:rPr>
                <w:b/>
                <w:sz w:val="24"/>
              </w:rPr>
            </w:pPr>
            <w:r w:rsidRPr="00564B42">
              <w:rPr>
                <w:b/>
                <w:sz w:val="24"/>
              </w:rPr>
              <w:t>Metabolism</w:t>
            </w:r>
            <w:r w:rsidR="008131B7">
              <w:rPr>
                <w:b/>
                <w:sz w:val="24"/>
              </w:rPr>
              <w:t xml:space="preserve"> </w:t>
            </w:r>
            <w:r w:rsidRPr="00564B42">
              <w:rPr>
                <w:b/>
                <w:spacing w:val="-6"/>
                <w:sz w:val="24"/>
              </w:rPr>
              <w:t xml:space="preserve">and </w:t>
            </w:r>
            <w:r w:rsidRPr="00564B42">
              <w:rPr>
                <w:b/>
                <w:sz w:val="24"/>
              </w:rPr>
              <w:t>nutrition</w:t>
            </w:r>
            <w:r w:rsidRPr="00564B42">
              <w:rPr>
                <w:b/>
                <w:spacing w:val="-2"/>
                <w:sz w:val="24"/>
              </w:rPr>
              <w:t xml:space="preserve"> </w:t>
            </w:r>
            <w:r w:rsidRPr="00564B42">
              <w:rPr>
                <w:b/>
                <w:sz w:val="24"/>
              </w:rPr>
              <w:t>disorders</w:t>
            </w:r>
          </w:p>
        </w:tc>
        <w:tc>
          <w:tcPr>
            <w:tcW w:w="2347" w:type="dxa"/>
          </w:tcPr>
          <w:p w14:paraId="056043E2" w14:textId="77777777" w:rsidR="00540CA9" w:rsidRPr="00564B42" w:rsidRDefault="00540CA9" w:rsidP="00564B42">
            <w:pPr>
              <w:pStyle w:val="TableParagraph"/>
              <w:ind w:left="0"/>
              <w:jc w:val="both"/>
              <w:rPr>
                <w:sz w:val="24"/>
              </w:rPr>
            </w:pPr>
          </w:p>
        </w:tc>
        <w:tc>
          <w:tcPr>
            <w:tcW w:w="2357" w:type="dxa"/>
          </w:tcPr>
          <w:p w14:paraId="5918D638" w14:textId="77777777" w:rsidR="00540CA9" w:rsidRPr="00564B42" w:rsidRDefault="00540CA9" w:rsidP="00564B42">
            <w:pPr>
              <w:pStyle w:val="TableParagraph"/>
              <w:spacing w:line="270" w:lineRule="exact"/>
              <w:ind w:left="108"/>
              <w:jc w:val="both"/>
              <w:rPr>
                <w:sz w:val="24"/>
              </w:rPr>
            </w:pPr>
            <w:r w:rsidRPr="00564B42">
              <w:rPr>
                <w:sz w:val="24"/>
              </w:rPr>
              <w:t>Decreased appetite</w:t>
            </w:r>
          </w:p>
        </w:tc>
        <w:tc>
          <w:tcPr>
            <w:tcW w:w="2501" w:type="dxa"/>
          </w:tcPr>
          <w:p w14:paraId="28DF0720" w14:textId="77777777" w:rsidR="00540CA9" w:rsidRPr="00564B42" w:rsidRDefault="00540CA9" w:rsidP="00564B42">
            <w:pPr>
              <w:pStyle w:val="TableParagraph"/>
              <w:spacing w:line="270" w:lineRule="exact"/>
              <w:ind w:left="105"/>
              <w:jc w:val="both"/>
              <w:rPr>
                <w:sz w:val="24"/>
              </w:rPr>
            </w:pPr>
            <w:r w:rsidRPr="00564B42">
              <w:rPr>
                <w:sz w:val="24"/>
              </w:rPr>
              <w:t>Hypercholesterolaemia,</w:t>
            </w:r>
          </w:p>
          <w:p w14:paraId="0F2115DE" w14:textId="77777777" w:rsidR="00540CA9" w:rsidRPr="00564B42" w:rsidRDefault="00540CA9" w:rsidP="00564B42">
            <w:pPr>
              <w:pStyle w:val="TableParagraph"/>
              <w:spacing w:before="5" w:line="274" w:lineRule="exact"/>
              <w:ind w:left="105" w:right="187"/>
              <w:jc w:val="both"/>
              <w:rPr>
                <w:sz w:val="24"/>
              </w:rPr>
            </w:pPr>
            <w:r w:rsidRPr="00564B42">
              <w:rPr>
                <w:sz w:val="24"/>
              </w:rPr>
              <w:t>hypertriglyceridaemia, hypokalemia</w:t>
            </w:r>
          </w:p>
        </w:tc>
      </w:tr>
      <w:tr w:rsidR="00564B42" w:rsidRPr="00564B42" w14:paraId="0157BB04" w14:textId="77777777" w:rsidTr="008131B7">
        <w:trPr>
          <w:trHeight w:val="553"/>
        </w:trPr>
        <w:tc>
          <w:tcPr>
            <w:tcW w:w="2726" w:type="dxa"/>
          </w:tcPr>
          <w:p w14:paraId="47CF9E1F" w14:textId="77777777" w:rsidR="00540CA9" w:rsidRPr="00564B42" w:rsidRDefault="00540CA9" w:rsidP="008131B7">
            <w:pPr>
              <w:pStyle w:val="TableParagraph"/>
              <w:spacing w:before="2" w:line="276" w:lineRule="exact"/>
              <w:ind w:right="91"/>
              <w:rPr>
                <w:b/>
                <w:sz w:val="24"/>
              </w:rPr>
            </w:pPr>
            <w:r w:rsidRPr="00564B42">
              <w:rPr>
                <w:b/>
                <w:sz w:val="24"/>
              </w:rPr>
              <w:t>Psychiatric disorders</w:t>
            </w:r>
          </w:p>
        </w:tc>
        <w:tc>
          <w:tcPr>
            <w:tcW w:w="2347" w:type="dxa"/>
          </w:tcPr>
          <w:p w14:paraId="02F1EDF3" w14:textId="77777777" w:rsidR="00540CA9" w:rsidRPr="00564B42" w:rsidRDefault="00540CA9" w:rsidP="00564B42">
            <w:pPr>
              <w:pStyle w:val="TableParagraph"/>
              <w:ind w:left="0"/>
              <w:jc w:val="both"/>
              <w:rPr>
                <w:sz w:val="24"/>
              </w:rPr>
            </w:pPr>
          </w:p>
        </w:tc>
        <w:tc>
          <w:tcPr>
            <w:tcW w:w="2357" w:type="dxa"/>
          </w:tcPr>
          <w:p w14:paraId="16422FDD" w14:textId="77777777" w:rsidR="00540CA9" w:rsidRPr="00564B42" w:rsidRDefault="00540CA9" w:rsidP="00564B42">
            <w:pPr>
              <w:pStyle w:val="TableParagraph"/>
              <w:spacing w:line="270" w:lineRule="exact"/>
              <w:ind w:left="108"/>
              <w:jc w:val="both"/>
              <w:rPr>
                <w:sz w:val="24"/>
              </w:rPr>
            </w:pPr>
            <w:r w:rsidRPr="00564B42">
              <w:rPr>
                <w:sz w:val="24"/>
              </w:rPr>
              <w:t>Somnolence,</w:t>
            </w:r>
          </w:p>
          <w:p w14:paraId="0432E7B0" w14:textId="77777777" w:rsidR="00540CA9" w:rsidRPr="00564B42" w:rsidRDefault="00540CA9" w:rsidP="00564B42">
            <w:pPr>
              <w:pStyle w:val="TableParagraph"/>
              <w:spacing w:line="264" w:lineRule="exact"/>
              <w:ind w:left="108"/>
              <w:jc w:val="both"/>
              <w:rPr>
                <w:sz w:val="24"/>
              </w:rPr>
            </w:pPr>
            <w:r w:rsidRPr="00564B42">
              <w:rPr>
                <w:sz w:val="24"/>
              </w:rPr>
              <w:t>insomnia</w:t>
            </w:r>
          </w:p>
        </w:tc>
        <w:tc>
          <w:tcPr>
            <w:tcW w:w="2501" w:type="dxa"/>
          </w:tcPr>
          <w:p w14:paraId="2FEF1079" w14:textId="77777777" w:rsidR="00540CA9" w:rsidRPr="00564B42" w:rsidRDefault="00540CA9" w:rsidP="00564B42">
            <w:pPr>
              <w:pStyle w:val="TableParagraph"/>
              <w:ind w:left="0"/>
              <w:jc w:val="both"/>
              <w:rPr>
                <w:sz w:val="24"/>
              </w:rPr>
            </w:pPr>
          </w:p>
        </w:tc>
      </w:tr>
      <w:tr w:rsidR="00564B42" w:rsidRPr="00564B42" w14:paraId="64EE6EBF" w14:textId="77777777" w:rsidTr="008131B7">
        <w:trPr>
          <w:trHeight w:val="1103"/>
        </w:trPr>
        <w:tc>
          <w:tcPr>
            <w:tcW w:w="2726" w:type="dxa"/>
          </w:tcPr>
          <w:p w14:paraId="1DAE3FC1" w14:textId="6020578E" w:rsidR="00540CA9" w:rsidRPr="00564B42" w:rsidRDefault="00540CA9" w:rsidP="008131B7">
            <w:pPr>
              <w:pStyle w:val="TableParagraph"/>
              <w:tabs>
                <w:tab w:val="left" w:pos="1569"/>
              </w:tabs>
              <w:ind w:right="91"/>
              <w:rPr>
                <w:b/>
                <w:sz w:val="24"/>
              </w:rPr>
            </w:pPr>
            <w:r w:rsidRPr="00564B42">
              <w:rPr>
                <w:b/>
                <w:sz w:val="24"/>
              </w:rPr>
              <w:t>Nervous</w:t>
            </w:r>
            <w:r w:rsidR="008131B7">
              <w:rPr>
                <w:b/>
                <w:sz w:val="24"/>
              </w:rPr>
              <w:t xml:space="preserve"> </w:t>
            </w:r>
            <w:r w:rsidRPr="00564B42">
              <w:rPr>
                <w:b/>
                <w:spacing w:val="-3"/>
                <w:sz w:val="24"/>
              </w:rPr>
              <w:t xml:space="preserve">system </w:t>
            </w:r>
            <w:r w:rsidRPr="00564B42">
              <w:rPr>
                <w:b/>
                <w:sz w:val="24"/>
              </w:rPr>
              <w:t>disorders</w:t>
            </w:r>
          </w:p>
        </w:tc>
        <w:tc>
          <w:tcPr>
            <w:tcW w:w="2347" w:type="dxa"/>
          </w:tcPr>
          <w:p w14:paraId="40D0848A" w14:textId="77777777" w:rsidR="00540CA9" w:rsidRPr="00564B42" w:rsidRDefault="00540CA9" w:rsidP="00564B42">
            <w:pPr>
              <w:pStyle w:val="TableParagraph"/>
              <w:spacing w:line="268" w:lineRule="exact"/>
              <w:ind w:left="108"/>
              <w:jc w:val="both"/>
              <w:rPr>
                <w:sz w:val="24"/>
              </w:rPr>
            </w:pPr>
            <w:r w:rsidRPr="00564B42">
              <w:rPr>
                <w:sz w:val="24"/>
              </w:rPr>
              <w:t>Headache</w:t>
            </w:r>
          </w:p>
        </w:tc>
        <w:tc>
          <w:tcPr>
            <w:tcW w:w="2357" w:type="dxa"/>
          </w:tcPr>
          <w:p w14:paraId="1A7974AB" w14:textId="77777777" w:rsidR="00540CA9" w:rsidRPr="00564B42" w:rsidRDefault="00540CA9" w:rsidP="00564B42">
            <w:pPr>
              <w:pStyle w:val="TableParagraph"/>
              <w:tabs>
                <w:tab w:val="left" w:pos="1807"/>
              </w:tabs>
              <w:ind w:left="108" w:right="97"/>
              <w:jc w:val="both"/>
              <w:rPr>
                <w:sz w:val="24"/>
              </w:rPr>
            </w:pPr>
            <w:r w:rsidRPr="00564B42">
              <w:rPr>
                <w:sz w:val="24"/>
              </w:rPr>
              <w:t>Seizures, paraesthesia, dizziness,</w:t>
            </w:r>
            <w:r w:rsidRPr="00564B42">
              <w:rPr>
                <w:sz w:val="24"/>
              </w:rPr>
              <w:tab/>
            </w:r>
            <w:r w:rsidRPr="00564B42">
              <w:rPr>
                <w:spacing w:val="-5"/>
                <w:sz w:val="24"/>
              </w:rPr>
              <w:t>taste</w:t>
            </w:r>
          </w:p>
          <w:p w14:paraId="407D8DB3" w14:textId="77777777" w:rsidR="00540CA9" w:rsidRPr="00564B42" w:rsidRDefault="00540CA9" w:rsidP="00564B42">
            <w:pPr>
              <w:pStyle w:val="TableParagraph"/>
              <w:spacing w:line="264" w:lineRule="exact"/>
              <w:ind w:left="108"/>
              <w:jc w:val="both"/>
              <w:rPr>
                <w:sz w:val="24"/>
              </w:rPr>
            </w:pPr>
            <w:r w:rsidRPr="00564B42">
              <w:rPr>
                <w:sz w:val="24"/>
              </w:rPr>
              <w:t>perversion</w:t>
            </w:r>
          </w:p>
        </w:tc>
        <w:tc>
          <w:tcPr>
            <w:tcW w:w="2501" w:type="dxa"/>
          </w:tcPr>
          <w:p w14:paraId="2BB1F41B" w14:textId="77777777" w:rsidR="00540CA9" w:rsidRPr="00564B42" w:rsidRDefault="00540CA9" w:rsidP="00564B42">
            <w:pPr>
              <w:pStyle w:val="TableParagraph"/>
              <w:spacing w:line="268" w:lineRule="exact"/>
              <w:ind w:left="105"/>
              <w:jc w:val="both"/>
              <w:rPr>
                <w:sz w:val="24"/>
              </w:rPr>
            </w:pPr>
            <w:r w:rsidRPr="00564B42">
              <w:rPr>
                <w:sz w:val="24"/>
              </w:rPr>
              <w:t>Tremor</w:t>
            </w:r>
          </w:p>
        </w:tc>
      </w:tr>
      <w:tr w:rsidR="00564B42" w:rsidRPr="00564B42" w14:paraId="28B65825" w14:textId="77777777" w:rsidTr="008131B7">
        <w:trPr>
          <w:trHeight w:val="551"/>
        </w:trPr>
        <w:tc>
          <w:tcPr>
            <w:tcW w:w="2726" w:type="dxa"/>
          </w:tcPr>
          <w:p w14:paraId="2A1B8568" w14:textId="77777777" w:rsidR="00540CA9" w:rsidRPr="00564B42" w:rsidRDefault="00540CA9" w:rsidP="008131B7">
            <w:pPr>
              <w:pStyle w:val="TableParagraph"/>
              <w:tabs>
                <w:tab w:val="left" w:pos="705"/>
                <w:tab w:val="left" w:pos="1305"/>
              </w:tabs>
              <w:spacing w:line="276" w:lineRule="exact"/>
              <w:ind w:right="91"/>
              <w:rPr>
                <w:b/>
                <w:sz w:val="24"/>
              </w:rPr>
            </w:pPr>
            <w:r w:rsidRPr="00564B42">
              <w:rPr>
                <w:b/>
                <w:sz w:val="24"/>
              </w:rPr>
              <w:t>Ear</w:t>
            </w:r>
            <w:r w:rsidRPr="00564B42">
              <w:rPr>
                <w:b/>
                <w:sz w:val="24"/>
              </w:rPr>
              <w:tab/>
              <w:t>and</w:t>
            </w:r>
            <w:r w:rsidRPr="00564B42">
              <w:rPr>
                <w:b/>
                <w:sz w:val="24"/>
              </w:rPr>
              <w:tab/>
            </w:r>
            <w:r w:rsidRPr="00564B42">
              <w:rPr>
                <w:b/>
                <w:spacing w:val="-3"/>
                <w:sz w:val="24"/>
              </w:rPr>
              <w:t xml:space="preserve">labyrinth </w:t>
            </w:r>
            <w:r w:rsidRPr="00564B42">
              <w:rPr>
                <w:b/>
                <w:sz w:val="24"/>
              </w:rPr>
              <w:t>disorders</w:t>
            </w:r>
          </w:p>
        </w:tc>
        <w:tc>
          <w:tcPr>
            <w:tcW w:w="2347" w:type="dxa"/>
          </w:tcPr>
          <w:p w14:paraId="7CD9AF75" w14:textId="77777777" w:rsidR="00540CA9" w:rsidRPr="00564B42" w:rsidRDefault="00540CA9" w:rsidP="00564B42">
            <w:pPr>
              <w:pStyle w:val="TableParagraph"/>
              <w:ind w:left="0"/>
              <w:jc w:val="both"/>
              <w:rPr>
                <w:sz w:val="24"/>
              </w:rPr>
            </w:pPr>
          </w:p>
        </w:tc>
        <w:tc>
          <w:tcPr>
            <w:tcW w:w="2357" w:type="dxa"/>
          </w:tcPr>
          <w:p w14:paraId="462D230D" w14:textId="77777777" w:rsidR="00540CA9" w:rsidRPr="00564B42" w:rsidRDefault="00540CA9" w:rsidP="00564B42">
            <w:pPr>
              <w:pStyle w:val="TableParagraph"/>
              <w:spacing w:line="268" w:lineRule="exact"/>
              <w:ind w:left="108"/>
              <w:jc w:val="both"/>
              <w:rPr>
                <w:sz w:val="24"/>
              </w:rPr>
            </w:pPr>
            <w:r w:rsidRPr="00564B42">
              <w:rPr>
                <w:sz w:val="24"/>
              </w:rPr>
              <w:t>Vertigo</w:t>
            </w:r>
          </w:p>
        </w:tc>
        <w:tc>
          <w:tcPr>
            <w:tcW w:w="2501" w:type="dxa"/>
          </w:tcPr>
          <w:p w14:paraId="4CA673D4" w14:textId="77777777" w:rsidR="00540CA9" w:rsidRPr="00564B42" w:rsidRDefault="00540CA9" w:rsidP="00564B42">
            <w:pPr>
              <w:pStyle w:val="TableParagraph"/>
              <w:ind w:left="0"/>
              <w:jc w:val="both"/>
              <w:rPr>
                <w:sz w:val="24"/>
              </w:rPr>
            </w:pPr>
          </w:p>
        </w:tc>
      </w:tr>
      <w:tr w:rsidR="00564B42" w:rsidRPr="00564B42" w14:paraId="51F4EE83" w14:textId="77777777" w:rsidTr="008131B7">
        <w:trPr>
          <w:trHeight w:val="551"/>
        </w:trPr>
        <w:tc>
          <w:tcPr>
            <w:tcW w:w="2726" w:type="dxa"/>
          </w:tcPr>
          <w:p w14:paraId="76604BE5" w14:textId="77777777" w:rsidR="00540CA9" w:rsidRPr="00564B42" w:rsidRDefault="00540CA9" w:rsidP="008131B7">
            <w:pPr>
              <w:pStyle w:val="TableParagraph"/>
              <w:spacing w:line="272" w:lineRule="exact"/>
              <w:ind w:right="91"/>
              <w:rPr>
                <w:b/>
                <w:sz w:val="24"/>
              </w:rPr>
            </w:pPr>
            <w:r w:rsidRPr="00564B42">
              <w:rPr>
                <w:b/>
                <w:sz w:val="24"/>
              </w:rPr>
              <w:t>Cardiac disorders</w:t>
            </w:r>
          </w:p>
        </w:tc>
        <w:tc>
          <w:tcPr>
            <w:tcW w:w="2347" w:type="dxa"/>
          </w:tcPr>
          <w:p w14:paraId="674C82D4" w14:textId="77777777" w:rsidR="00540CA9" w:rsidRPr="00564B42" w:rsidRDefault="00540CA9" w:rsidP="00564B42">
            <w:pPr>
              <w:pStyle w:val="TableParagraph"/>
              <w:ind w:left="0"/>
              <w:jc w:val="both"/>
              <w:rPr>
                <w:sz w:val="24"/>
              </w:rPr>
            </w:pPr>
          </w:p>
        </w:tc>
        <w:tc>
          <w:tcPr>
            <w:tcW w:w="2357" w:type="dxa"/>
          </w:tcPr>
          <w:p w14:paraId="7D43FBEB" w14:textId="77777777" w:rsidR="00540CA9" w:rsidRPr="00564B42" w:rsidRDefault="00540CA9" w:rsidP="00564B42">
            <w:pPr>
              <w:pStyle w:val="TableParagraph"/>
              <w:ind w:left="0"/>
              <w:jc w:val="both"/>
              <w:rPr>
                <w:sz w:val="24"/>
              </w:rPr>
            </w:pPr>
          </w:p>
        </w:tc>
        <w:tc>
          <w:tcPr>
            <w:tcW w:w="2501" w:type="dxa"/>
          </w:tcPr>
          <w:p w14:paraId="34245EB5" w14:textId="77777777" w:rsidR="00540CA9" w:rsidRPr="00564B42" w:rsidRDefault="00540CA9" w:rsidP="00564B42">
            <w:pPr>
              <w:pStyle w:val="TableParagraph"/>
              <w:spacing w:line="267" w:lineRule="exact"/>
              <w:ind w:left="105"/>
              <w:jc w:val="both"/>
              <w:rPr>
                <w:sz w:val="24"/>
              </w:rPr>
            </w:pPr>
            <w:r w:rsidRPr="00564B42">
              <w:rPr>
                <w:sz w:val="24"/>
              </w:rPr>
              <w:t>Torsade de pointes, QT</w:t>
            </w:r>
          </w:p>
          <w:p w14:paraId="725214CD" w14:textId="77777777" w:rsidR="00540CA9" w:rsidRPr="00564B42" w:rsidRDefault="00540CA9" w:rsidP="00564B42">
            <w:pPr>
              <w:pStyle w:val="TableParagraph"/>
              <w:spacing w:line="264" w:lineRule="exact"/>
              <w:ind w:left="105"/>
              <w:jc w:val="both"/>
              <w:rPr>
                <w:sz w:val="24"/>
              </w:rPr>
            </w:pPr>
            <w:r w:rsidRPr="00564B42">
              <w:rPr>
                <w:sz w:val="24"/>
              </w:rPr>
              <w:t>prolongation</w:t>
            </w:r>
          </w:p>
        </w:tc>
      </w:tr>
      <w:tr w:rsidR="00564B42" w:rsidRPr="00564B42" w14:paraId="44192097" w14:textId="77777777" w:rsidTr="008131B7">
        <w:trPr>
          <w:trHeight w:val="827"/>
        </w:trPr>
        <w:tc>
          <w:tcPr>
            <w:tcW w:w="2726" w:type="dxa"/>
          </w:tcPr>
          <w:p w14:paraId="3C6F031D" w14:textId="77777777" w:rsidR="00540CA9" w:rsidRPr="00564B42" w:rsidRDefault="00540CA9" w:rsidP="008131B7">
            <w:pPr>
              <w:pStyle w:val="TableParagraph"/>
              <w:ind w:right="91"/>
              <w:rPr>
                <w:b/>
                <w:sz w:val="24"/>
              </w:rPr>
            </w:pPr>
            <w:r w:rsidRPr="00564B42">
              <w:rPr>
                <w:b/>
                <w:sz w:val="24"/>
              </w:rPr>
              <w:t>Gastrointestinal disorders</w:t>
            </w:r>
          </w:p>
        </w:tc>
        <w:tc>
          <w:tcPr>
            <w:tcW w:w="2347" w:type="dxa"/>
          </w:tcPr>
          <w:p w14:paraId="09D73C1E" w14:textId="77777777" w:rsidR="00540CA9" w:rsidRPr="00564B42" w:rsidRDefault="00540CA9" w:rsidP="00564B42">
            <w:pPr>
              <w:pStyle w:val="TableParagraph"/>
              <w:tabs>
                <w:tab w:val="left" w:pos="1274"/>
                <w:tab w:val="left" w:pos="1766"/>
              </w:tabs>
              <w:ind w:left="108" w:right="95"/>
              <w:jc w:val="both"/>
              <w:rPr>
                <w:sz w:val="24"/>
              </w:rPr>
            </w:pPr>
            <w:r w:rsidRPr="00564B42">
              <w:rPr>
                <w:sz w:val="24"/>
              </w:rPr>
              <w:t>Abdominal</w:t>
            </w:r>
            <w:r w:rsidRPr="00564B42">
              <w:rPr>
                <w:sz w:val="24"/>
              </w:rPr>
              <w:tab/>
            </w:r>
            <w:r w:rsidRPr="00564B42">
              <w:rPr>
                <w:sz w:val="24"/>
              </w:rPr>
              <w:tab/>
            </w:r>
            <w:r w:rsidRPr="00564B42">
              <w:rPr>
                <w:spacing w:val="-5"/>
                <w:sz w:val="24"/>
              </w:rPr>
              <w:t xml:space="preserve">pain, </w:t>
            </w:r>
            <w:r w:rsidRPr="00564B42">
              <w:rPr>
                <w:sz w:val="24"/>
              </w:rPr>
              <w:t>vomiting,</w:t>
            </w:r>
            <w:r w:rsidRPr="00564B42">
              <w:rPr>
                <w:sz w:val="24"/>
              </w:rPr>
              <w:tab/>
            </w:r>
            <w:r w:rsidRPr="00564B42">
              <w:rPr>
                <w:spacing w:val="-3"/>
                <w:sz w:val="24"/>
              </w:rPr>
              <w:t>diarrhoea,</w:t>
            </w:r>
          </w:p>
          <w:p w14:paraId="2129F071" w14:textId="77777777" w:rsidR="00540CA9" w:rsidRPr="00564B42" w:rsidRDefault="00540CA9" w:rsidP="00564B42">
            <w:pPr>
              <w:pStyle w:val="TableParagraph"/>
              <w:spacing w:line="264" w:lineRule="exact"/>
              <w:ind w:left="108"/>
              <w:jc w:val="both"/>
              <w:rPr>
                <w:sz w:val="24"/>
              </w:rPr>
            </w:pPr>
            <w:r w:rsidRPr="00564B42">
              <w:rPr>
                <w:sz w:val="24"/>
              </w:rPr>
              <w:t>nausea</w:t>
            </w:r>
          </w:p>
        </w:tc>
        <w:tc>
          <w:tcPr>
            <w:tcW w:w="2357" w:type="dxa"/>
          </w:tcPr>
          <w:p w14:paraId="60F9D29A" w14:textId="77777777" w:rsidR="00540CA9" w:rsidRPr="00564B42" w:rsidRDefault="00540CA9" w:rsidP="00564B42">
            <w:pPr>
              <w:pStyle w:val="TableParagraph"/>
              <w:ind w:left="108" w:right="97"/>
              <w:jc w:val="both"/>
              <w:rPr>
                <w:sz w:val="24"/>
              </w:rPr>
            </w:pPr>
            <w:r w:rsidRPr="00564B42">
              <w:rPr>
                <w:sz w:val="24"/>
              </w:rPr>
              <w:t>Constipation dyspepsia, flatulence,</w:t>
            </w:r>
          </w:p>
          <w:p w14:paraId="6B113695" w14:textId="77777777" w:rsidR="00540CA9" w:rsidRPr="00564B42" w:rsidRDefault="00540CA9" w:rsidP="00564B42">
            <w:pPr>
              <w:pStyle w:val="TableParagraph"/>
              <w:spacing w:line="264" w:lineRule="exact"/>
              <w:ind w:left="108"/>
              <w:jc w:val="both"/>
              <w:rPr>
                <w:sz w:val="24"/>
              </w:rPr>
            </w:pPr>
            <w:r w:rsidRPr="00564B42">
              <w:rPr>
                <w:sz w:val="24"/>
              </w:rPr>
              <w:t>dry mouth</w:t>
            </w:r>
          </w:p>
        </w:tc>
        <w:tc>
          <w:tcPr>
            <w:tcW w:w="2501" w:type="dxa"/>
          </w:tcPr>
          <w:p w14:paraId="0E67EDC4" w14:textId="77777777" w:rsidR="00540CA9" w:rsidRPr="00564B42" w:rsidRDefault="00540CA9" w:rsidP="00564B42">
            <w:pPr>
              <w:pStyle w:val="TableParagraph"/>
              <w:ind w:left="0"/>
              <w:jc w:val="both"/>
              <w:rPr>
                <w:sz w:val="24"/>
              </w:rPr>
            </w:pPr>
          </w:p>
        </w:tc>
      </w:tr>
      <w:tr w:rsidR="00564B42" w:rsidRPr="00564B42" w14:paraId="772C9560" w14:textId="77777777" w:rsidTr="008131B7">
        <w:trPr>
          <w:trHeight w:val="1931"/>
        </w:trPr>
        <w:tc>
          <w:tcPr>
            <w:tcW w:w="2726" w:type="dxa"/>
          </w:tcPr>
          <w:p w14:paraId="13041707" w14:textId="77777777" w:rsidR="00540CA9" w:rsidRPr="00564B42" w:rsidRDefault="00540CA9" w:rsidP="008131B7">
            <w:pPr>
              <w:pStyle w:val="TableParagraph"/>
              <w:ind w:right="91"/>
              <w:rPr>
                <w:b/>
                <w:sz w:val="24"/>
              </w:rPr>
            </w:pPr>
            <w:r w:rsidRPr="00564B42">
              <w:rPr>
                <w:b/>
                <w:sz w:val="24"/>
              </w:rPr>
              <w:lastRenderedPageBreak/>
              <w:t>Hepatobiliary disorders</w:t>
            </w:r>
          </w:p>
        </w:tc>
        <w:tc>
          <w:tcPr>
            <w:tcW w:w="2347" w:type="dxa"/>
          </w:tcPr>
          <w:p w14:paraId="1EF416AD" w14:textId="77777777" w:rsidR="00540CA9" w:rsidRPr="00564B42" w:rsidRDefault="00540CA9" w:rsidP="00564B42">
            <w:pPr>
              <w:pStyle w:val="TableParagraph"/>
              <w:tabs>
                <w:tab w:val="left" w:pos="1384"/>
                <w:tab w:val="left" w:pos="1691"/>
              </w:tabs>
              <w:ind w:left="108" w:right="95"/>
              <w:jc w:val="both"/>
              <w:rPr>
                <w:sz w:val="24"/>
              </w:rPr>
            </w:pPr>
            <w:r w:rsidRPr="00564B42">
              <w:rPr>
                <w:sz w:val="24"/>
              </w:rPr>
              <w:t>Alanine aminotransferase increased,</w:t>
            </w:r>
            <w:r w:rsidRPr="00564B42">
              <w:rPr>
                <w:sz w:val="24"/>
              </w:rPr>
              <w:tab/>
            </w:r>
            <w:r w:rsidRPr="00564B42">
              <w:rPr>
                <w:spacing w:val="-3"/>
                <w:sz w:val="24"/>
              </w:rPr>
              <w:t xml:space="preserve">aspartate </w:t>
            </w:r>
            <w:r w:rsidRPr="00564B42">
              <w:rPr>
                <w:sz w:val="24"/>
              </w:rPr>
              <w:t>aminotransferase increased,</w:t>
            </w:r>
            <w:r w:rsidRPr="00564B42">
              <w:rPr>
                <w:sz w:val="24"/>
              </w:rPr>
              <w:tab/>
            </w:r>
            <w:r w:rsidRPr="00564B42">
              <w:rPr>
                <w:sz w:val="24"/>
              </w:rPr>
              <w:tab/>
            </w:r>
            <w:r w:rsidRPr="00564B42">
              <w:rPr>
                <w:spacing w:val="-4"/>
                <w:sz w:val="24"/>
              </w:rPr>
              <w:t xml:space="preserve">blood </w:t>
            </w:r>
            <w:r w:rsidRPr="00564B42">
              <w:rPr>
                <w:sz w:val="24"/>
              </w:rPr>
              <w:t>alkaline</w:t>
            </w:r>
            <w:r w:rsidRPr="00564B42">
              <w:rPr>
                <w:spacing w:val="32"/>
                <w:sz w:val="24"/>
              </w:rPr>
              <w:t xml:space="preserve"> </w:t>
            </w:r>
            <w:r w:rsidRPr="00564B42">
              <w:rPr>
                <w:spacing w:val="-3"/>
                <w:sz w:val="24"/>
              </w:rPr>
              <w:t>phosphatase</w:t>
            </w:r>
          </w:p>
          <w:p w14:paraId="1516A7FE" w14:textId="77777777" w:rsidR="00540CA9" w:rsidRPr="00564B42" w:rsidRDefault="00540CA9" w:rsidP="00564B42">
            <w:pPr>
              <w:pStyle w:val="TableParagraph"/>
              <w:spacing w:line="264" w:lineRule="exact"/>
              <w:ind w:left="108"/>
              <w:jc w:val="both"/>
              <w:rPr>
                <w:sz w:val="24"/>
              </w:rPr>
            </w:pPr>
            <w:r w:rsidRPr="00564B42">
              <w:rPr>
                <w:sz w:val="24"/>
              </w:rPr>
              <w:t>increased</w:t>
            </w:r>
          </w:p>
        </w:tc>
        <w:tc>
          <w:tcPr>
            <w:tcW w:w="2357" w:type="dxa"/>
          </w:tcPr>
          <w:p w14:paraId="21377725" w14:textId="77777777" w:rsidR="00540CA9" w:rsidRPr="00564B42" w:rsidRDefault="00540CA9" w:rsidP="00564B42">
            <w:pPr>
              <w:pStyle w:val="TableParagraph"/>
              <w:ind w:left="108"/>
              <w:jc w:val="both"/>
              <w:rPr>
                <w:sz w:val="24"/>
              </w:rPr>
            </w:pPr>
            <w:r w:rsidRPr="00564B42">
              <w:rPr>
                <w:sz w:val="24"/>
              </w:rPr>
              <w:t>Cholestasis, jaundice, bilirubin increased</w:t>
            </w:r>
          </w:p>
        </w:tc>
        <w:tc>
          <w:tcPr>
            <w:tcW w:w="2501" w:type="dxa"/>
          </w:tcPr>
          <w:p w14:paraId="67E27EEF" w14:textId="77777777" w:rsidR="00540CA9" w:rsidRPr="00564B42" w:rsidRDefault="00540CA9" w:rsidP="00564B42">
            <w:pPr>
              <w:pStyle w:val="TableParagraph"/>
              <w:tabs>
                <w:tab w:val="left" w:pos="1703"/>
              </w:tabs>
              <w:ind w:left="105" w:right="98"/>
              <w:jc w:val="both"/>
              <w:rPr>
                <w:sz w:val="24"/>
              </w:rPr>
            </w:pPr>
            <w:r w:rsidRPr="00564B42">
              <w:rPr>
                <w:sz w:val="24"/>
              </w:rPr>
              <w:t>Hepatic</w:t>
            </w:r>
            <w:r w:rsidRPr="00564B42">
              <w:rPr>
                <w:sz w:val="24"/>
              </w:rPr>
              <w:tab/>
            </w:r>
            <w:r w:rsidRPr="00564B42">
              <w:rPr>
                <w:spacing w:val="-3"/>
                <w:sz w:val="24"/>
              </w:rPr>
              <w:t xml:space="preserve">failure, </w:t>
            </w:r>
            <w:r w:rsidRPr="00564B42">
              <w:rPr>
                <w:sz w:val="24"/>
              </w:rPr>
              <w:t xml:space="preserve">hepatocellular </w:t>
            </w:r>
            <w:r w:rsidRPr="00564B42">
              <w:rPr>
                <w:spacing w:val="-3"/>
                <w:sz w:val="24"/>
              </w:rPr>
              <w:t xml:space="preserve">necrosis, </w:t>
            </w:r>
            <w:r w:rsidRPr="00564B42">
              <w:rPr>
                <w:sz w:val="24"/>
              </w:rPr>
              <w:t>hepatitis, hepatocellular</w:t>
            </w:r>
            <w:r w:rsidRPr="00564B42">
              <w:rPr>
                <w:spacing w:val="-3"/>
                <w:sz w:val="24"/>
              </w:rPr>
              <w:t xml:space="preserve"> </w:t>
            </w:r>
            <w:r w:rsidRPr="00564B42">
              <w:rPr>
                <w:sz w:val="24"/>
              </w:rPr>
              <w:t>damage</w:t>
            </w:r>
          </w:p>
        </w:tc>
      </w:tr>
      <w:tr w:rsidR="00564B42" w:rsidRPr="00564B42" w14:paraId="42F6E847" w14:textId="77777777" w:rsidTr="008131B7">
        <w:trPr>
          <w:trHeight w:val="553"/>
        </w:trPr>
        <w:tc>
          <w:tcPr>
            <w:tcW w:w="2726" w:type="dxa"/>
          </w:tcPr>
          <w:p w14:paraId="2A8332C7" w14:textId="7D2F55CB" w:rsidR="00540CA9" w:rsidRPr="00564B42" w:rsidRDefault="00540CA9" w:rsidP="008131B7">
            <w:pPr>
              <w:pStyle w:val="TableParagraph"/>
              <w:tabs>
                <w:tab w:val="left" w:pos="1878"/>
              </w:tabs>
              <w:spacing w:line="273" w:lineRule="exact"/>
              <w:ind w:right="91"/>
              <w:rPr>
                <w:b/>
                <w:sz w:val="24"/>
              </w:rPr>
            </w:pPr>
            <w:r w:rsidRPr="00564B42">
              <w:rPr>
                <w:b/>
                <w:sz w:val="24"/>
              </w:rPr>
              <w:t>Skin</w:t>
            </w:r>
            <w:r w:rsidR="008131B7">
              <w:rPr>
                <w:b/>
                <w:sz w:val="24"/>
              </w:rPr>
              <w:t xml:space="preserve"> </w:t>
            </w:r>
            <w:r w:rsidRPr="00564B42">
              <w:rPr>
                <w:b/>
                <w:sz w:val="24"/>
              </w:rPr>
              <w:t>and</w:t>
            </w:r>
            <w:r w:rsidR="008131B7">
              <w:rPr>
                <w:b/>
                <w:sz w:val="24"/>
              </w:rPr>
              <w:t xml:space="preserve"> </w:t>
            </w:r>
            <w:r w:rsidRPr="00564B42">
              <w:rPr>
                <w:b/>
                <w:sz w:val="24"/>
              </w:rPr>
              <w:t xml:space="preserve">subcutaneous  </w:t>
            </w:r>
            <w:r w:rsidRPr="00564B42">
              <w:rPr>
                <w:b/>
                <w:spacing w:val="9"/>
                <w:sz w:val="24"/>
              </w:rPr>
              <w:t xml:space="preserve"> </w:t>
            </w:r>
            <w:r w:rsidRPr="00564B42">
              <w:rPr>
                <w:b/>
                <w:sz w:val="24"/>
              </w:rPr>
              <w:t>tissue disorders</w:t>
            </w:r>
          </w:p>
        </w:tc>
        <w:tc>
          <w:tcPr>
            <w:tcW w:w="2347" w:type="dxa"/>
          </w:tcPr>
          <w:p w14:paraId="063FC248" w14:textId="77777777" w:rsidR="00540CA9" w:rsidRPr="00564B42" w:rsidRDefault="00540CA9" w:rsidP="00564B42">
            <w:pPr>
              <w:pStyle w:val="TableParagraph"/>
              <w:spacing w:line="268" w:lineRule="exact"/>
              <w:ind w:left="108"/>
              <w:jc w:val="both"/>
              <w:rPr>
                <w:sz w:val="24"/>
              </w:rPr>
            </w:pPr>
            <w:r w:rsidRPr="00564B42">
              <w:rPr>
                <w:sz w:val="24"/>
              </w:rPr>
              <w:t>Rash</w:t>
            </w:r>
          </w:p>
        </w:tc>
        <w:tc>
          <w:tcPr>
            <w:tcW w:w="2357" w:type="dxa"/>
          </w:tcPr>
          <w:p w14:paraId="570CEA4B" w14:textId="77777777" w:rsidR="00540CA9" w:rsidRPr="00564B42" w:rsidRDefault="00540CA9" w:rsidP="00564B42">
            <w:pPr>
              <w:pStyle w:val="TableParagraph"/>
              <w:tabs>
                <w:tab w:val="left" w:pos="1387"/>
              </w:tabs>
              <w:spacing w:line="268" w:lineRule="exact"/>
              <w:ind w:left="108"/>
              <w:jc w:val="both"/>
              <w:rPr>
                <w:sz w:val="24"/>
              </w:rPr>
            </w:pPr>
            <w:r w:rsidRPr="00564B42">
              <w:rPr>
                <w:sz w:val="24"/>
              </w:rPr>
              <w:t>Drug</w:t>
            </w:r>
            <w:r w:rsidRPr="00564B42">
              <w:rPr>
                <w:sz w:val="24"/>
              </w:rPr>
              <w:tab/>
              <w:t>eruption,</w:t>
            </w:r>
          </w:p>
          <w:p w14:paraId="25852A8C" w14:textId="71353EAF" w:rsidR="00540CA9" w:rsidRPr="00564B42" w:rsidRDefault="00540CA9" w:rsidP="00564B42">
            <w:pPr>
              <w:pStyle w:val="TableParagraph"/>
              <w:tabs>
                <w:tab w:val="left" w:pos="1437"/>
              </w:tabs>
              <w:spacing w:line="266" w:lineRule="exact"/>
              <w:ind w:left="108"/>
              <w:jc w:val="both"/>
              <w:rPr>
                <w:sz w:val="24"/>
              </w:rPr>
            </w:pPr>
            <w:r w:rsidRPr="00564B42">
              <w:rPr>
                <w:sz w:val="24"/>
              </w:rPr>
              <w:t>urticaria,</w:t>
            </w:r>
            <w:r w:rsidRPr="00564B42">
              <w:rPr>
                <w:sz w:val="24"/>
              </w:rPr>
              <w:tab/>
              <w:t>pruritus, increased sweating</w:t>
            </w:r>
          </w:p>
        </w:tc>
        <w:tc>
          <w:tcPr>
            <w:tcW w:w="2501" w:type="dxa"/>
          </w:tcPr>
          <w:p w14:paraId="00BDF489" w14:textId="77777777" w:rsidR="00540CA9" w:rsidRPr="00564B42" w:rsidRDefault="00540CA9" w:rsidP="00564B42">
            <w:pPr>
              <w:pStyle w:val="TableParagraph"/>
              <w:tabs>
                <w:tab w:val="left" w:pos="1432"/>
              </w:tabs>
              <w:spacing w:line="268" w:lineRule="exact"/>
              <w:ind w:left="105"/>
              <w:jc w:val="both"/>
              <w:rPr>
                <w:sz w:val="24"/>
              </w:rPr>
            </w:pPr>
            <w:r w:rsidRPr="00564B42">
              <w:rPr>
                <w:sz w:val="24"/>
              </w:rPr>
              <w:t>Toxic</w:t>
            </w:r>
            <w:r w:rsidRPr="00564B42">
              <w:rPr>
                <w:sz w:val="24"/>
              </w:rPr>
              <w:tab/>
              <w:t>epidermal</w:t>
            </w:r>
          </w:p>
          <w:p w14:paraId="4804D922" w14:textId="222C4D1A" w:rsidR="00540CA9" w:rsidRPr="00564B42" w:rsidRDefault="00540CA9" w:rsidP="00564B42">
            <w:pPr>
              <w:pStyle w:val="TableParagraph"/>
              <w:tabs>
                <w:tab w:val="left" w:pos="1387"/>
              </w:tabs>
              <w:spacing w:line="268" w:lineRule="exact"/>
              <w:ind w:left="105"/>
              <w:jc w:val="both"/>
              <w:rPr>
                <w:sz w:val="24"/>
              </w:rPr>
            </w:pPr>
            <w:r w:rsidRPr="00564B42">
              <w:rPr>
                <w:sz w:val="24"/>
              </w:rPr>
              <w:t>necrolysis,</w:t>
            </w:r>
            <w:r w:rsidRPr="00564B42">
              <w:rPr>
                <w:sz w:val="24"/>
              </w:rPr>
              <w:tab/>
              <w:t>Stevens- Johnson</w:t>
            </w:r>
            <w:r w:rsidRPr="00564B42">
              <w:rPr>
                <w:sz w:val="24"/>
              </w:rPr>
              <w:tab/>
              <w:t>syndrome,</w:t>
            </w:r>
          </w:p>
          <w:p w14:paraId="125ADDAD" w14:textId="00FD8F3E" w:rsidR="00540CA9" w:rsidRPr="00564B42" w:rsidRDefault="00540CA9" w:rsidP="00564B42">
            <w:pPr>
              <w:pStyle w:val="TableParagraph"/>
              <w:tabs>
                <w:tab w:val="left" w:pos="1564"/>
              </w:tabs>
              <w:spacing w:line="266" w:lineRule="exact"/>
              <w:ind w:left="105"/>
              <w:jc w:val="both"/>
              <w:rPr>
                <w:sz w:val="24"/>
              </w:rPr>
            </w:pPr>
            <w:r w:rsidRPr="00564B42">
              <w:rPr>
                <w:sz w:val="24"/>
              </w:rPr>
              <w:t>acute</w:t>
            </w:r>
            <w:r w:rsidRPr="00564B42">
              <w:rPr>
                <w:sz w:val="24"/>
              </w:rPr>
              <w:tab/>
              <w:t xml:space="preserve">generalised exanthematous- pustulosis, </w:t>
            </w:r>
            <w:r w:rsidRPr="00564B42">
              <w:rPr>
                <w:spacing w:val="-3"/>
                <w:sz w:val="24"/>
              </w:rPr>
              <w:t xml:space="preserve">dermatitis </w:t>
            </w:r>
            <w:r w:rsidRPr="00564B42">
              <w:rPr>
                <w:sz w:val="24"/>
              </w:rPr>
              <w:t xml:space="preserve">exfoliative, angioedema, </w:t>
            </w:r>
            <w:r w:rsidRPr="00564B42">
              <w:rPr>
                <w:spacing w:val="-3"/>
                <w:sz w:val="24"/>
              </w:rPr>
              <w:t xml:space="preserve">face </w:t>
            </w:r>
            <w:r w:rsidRPr="00564B42">
              <w:rPr>
                <w:sz w:val="24"/>
              </w:rPr>
              <w:t>oedema,</w:t>
            </w:r>
            <w:r w:rsidRPr="00564B42">
              <w:rPr>
                <w:spacing w:val="-1"/>
                <w:sz w:val="24"/>
              </w:rPr>
              <w:t xml:space="preserve"> </w:t>
            </w:r>
            <w:r w:rsidRPr="00564B42">
              <w:rPr>
                <w:sz w:val="24"/>
              </w:rPr>
              <w:t>alopecia</w:t>
            </w:r>
          </w:p>
        </w:tc>
      </w:tr>
      <w:tr w:rsidR="00564B42" w:rsidRPr="00564B42" w14:paraId="00AB63DF" w14:textId="77777777" w:rsidTr="008131B7">
        <w:trPr>
          <w:trHeight w:val="553"/>
        </w:trPr>
        <w:tc>
          <w:tcPr>
            <w:tcW w:w="2726" w:type="dxa"/>
          </w:tcPr>
          <w:p w14:paraId="1483C4EE" w14:textId="15961D63" w:rsidR="00540CA9" w:rsidRPr="00564B42" w:rsidRDefault="00540CA9" w:rsidP="008131B7">
            <w:pPr>
              <w:pStyle w:val="TableParagraph"/>
              <w:tabs>
                <w:tab w:val="left" w:pos="1878"/>
              </w:tabs>
              <w:spacing w:line="273" w:lineRule="exact"/>
              <w:ind w:right="91"/>
              <w:rPr>
                <w:b/>
                <w:sz w:val="24"/>
              </w:rPr>
            </w:pPr>
            <w:r w:rsidRPr="00564B42">
              <w:rPr>
                <w:b/>
                <w:sz w:val="24"/>
              </w:rPr>
              <w:t>Musculoskeletal and connective tissue disorders</w:t>
            </w:r>
          </w:p>
        </w:tc>
        <w:tc>
          <w:tcPr>
            <w:tcW w:w="2347" w:type="dxa"/>
          </w:tcPr>
          <w:p w14:paraId="1E26916A" w14:textId="77777777" w:rsidR="00540CA9" w:rsidRPr="00564B42" w:rsidRDefault="00540CA9" w:rsidP="00564B42">
            <w:pPr>
              <w:pStyle w:val="TableParagraph"/>
              <w:spacing w:line="268" w:lineRule="exact"/>
              <w:ind w:left="108"/>
              <w:jc w:val="both"/>
              <w:rPr>
                <w:sz w:val="24"/>
              </w:rPr>
            </w:pPr>
          </w:p>
        </w:tc>
        <w:tc>
          <w:tcPr>
            <w:tcW w:w="2357" w:type="dxa"/>
          </w:tcPr>
          <w:p w14:paraId="48A556C4" w14:textId="3AF2185C" w:rsidR="00540CA9" w:rsidRPr="00564B42" w:rsidRDefault="00540CA9" w:rsidP="00564B42">
            <w:pPr>
              <w:pStyle w:val="TableParagraph"/>
              <w:tabs>
                <w:tab w:val="left" w:pos="1387"/>
              </w:tabs>
              <w:spacing w:line="268" w:lineRule="exact"/>
              <w:ind w:left="108"/>
              <w:jc w:val="both"/>
              <w:rPr>
                <w:sz w:val="24"/>
              </w:rPr>
            </w:pPr>
            <w:r w:rsidRPr="00564B42">
              <w:rPr>
                <w:sz w:val="24"/>
              </w:rPr>
              <w:t>Myalgia</w:t>
            </w:r>
          </w:p>
        </w:tc>
        <w:tc>
          <w:tcPr>
            <w:tcW w:w="2501" w:type="dxa"/>
          </w:tcPr>
          <w:p w14:paraId="09FE6D15" w14:textId="77777777" w:rsidR="00540CA9" w:rsidRPr="00564B42" w:rsidRDefault="00540CA9" w:rsidP="00564B42">
            <w:pPr>
              <w:pStyle w:val="TableParagraph"/>
              <w:tabs>
                <w:tab w:val="left" w:pos="1432"/>
              </w:tabs>
              <w:spacing w:line="268" w:lineRule="exact"/>
              <w:ind w:left="105"/>
              <w:jc w:val="both"/>
              <w:rPr>
                <w:sz w:val="24"/>
              </w:rPr>
            </w:pPr>
          </w:p>
        </w:tc>
      </w:tr>
      <w:tr w:rsidR="00564B42" w:rsidRPr="00564B42" w14:paraId="2176396F" w14:textId="77777777" w:rsidTr="008131B7">
        <w:trPr>
          <w:trHeight w:val="553"/>
        </w:trPr>
        <w:tc>
          <w:tcPr>
            <w:tcW w:w="2726" w:type="dxa"/>
          </w:tcPr>
          <w:p w14:paraId="749D6081" w14:textId="77777777" w:rsidR="00540CA9" w:rsidRPr="00564B42" w:rsidRDefault="00540CA9" w:rsidP="008131B7">
            <w:pPr>
              <w:pStyle w:val="TableParagraph"/>
              <w:tabs>
                <w:tab w:val="left" w:pos="743"/>
                <w:tab w:val="left" w:pos="1302"/>
              </w:tabs>
              <w:ind w:right="91"/>
              <w:rPr>
                <w:b/>
                <w:sz w:val="24"/>
              </w:rPr>
            </w:pPr>
            <w:r w:rsidRPr="00564B42">
              <w:rPr>
                <w:b/>
                <w:sz w:val="24"/>
              </w:rPr>
              <w:t>General</w:t>
            </w:r>
            <w:r w:rsidRPr="00564B42">
              <w:rPr>
                <w:b/>
                <w:sz w:val="24"/>
              </w:rPr>
              <w:tab/>
            </w:r>
            <w:r w:rsidRPr="00564B42">
              <w:rPr>
                <w:b/>
                <w:spacing w:val="-3"/>
                <w:sz w:val="24"/>
              </w:rPr>
              <w:t xml:space="preserve">disorders </w:t>
            </w:r>
            <w:r w:rsidRPr="00564B42">
              <w:rPr>
                <w:b/>
                <w:sz w:val="24"/>
              </w:rPr>
              <w:t>and</w:t>
            </w:r>
            <w:r w:rsidRPr="00564B42">
              <w:rPr>
                <w:b/>
                <w:sz w:val="24"/>
              </w:rPr>
              <w:tab/>
            </w:r>
            <w:r w:rsidRPr="00564B42">
              <w:rPr>
                <w:b/>
                <w:spacing w:val="-1"/>
                <w:sz w:val="24"/>
              </w:rPr>
              <w:t>administration</w:t>
            </w:r>
          </w:p>
          <w:p w14:paraId="3BA9B980" w14:textId="548C21F5" w:rsidR="00540CA9" w:rsidRPr="00564B42" w:rsidRDefault="00540CA9" w:rsidP="008131B7">
            <w:pPr>
              <w:pStyle w:val="TableParagraph"/>
              <w:tabs>
                <w:tab w:val="left" w:pos="1878"/>
              </w:tabs>
              <w:spacing w:line="273" w:lineRule="exact"/>
              <w:ind w:right="91"/>
              <w:rPr>
                <w:b/>
                <w:sz w:val="24"/>
              </w:rPr>
            </w:pPr>
            <w:r w:rsidRPr="00564B42">
              <w:rPr>
                <w:b/>
                <w:sz w:val="24"/>
              </w:rPr>
              <w:t>site conditions</w:t>
            </w:r>
          </w:p>
        </w:tc>
        <w:tc>
          <w:tcPr>
            <w:tcW w:w="2347" w:type="dxa"/>
          </w:tcPr>
          <w:p w14:paraId="793E2CDA" w14:textId="77777777" w:rsidR="00540CA9" w:rsidRPr="00564B42" w:rsidRDefault="00540CA9" w:rsidP="00564B42">
            <w:pPr>
              <w:pStyle w:val="TableParagraph"/>
              <w:spacing w:line="268" w:lineRule="exact"/>
              <w:ind w:left="108"/>
              <w:jc w:val="both"/>
              <w:rPr>
                <w:sz w:val="24"/>
              </w:rPr>
            </w:pPr>
          </w:p>
        </w:tc>
        <w:tc>
          <w:tcPr>
            <w:tcW w:w="2357" w:type="dxa"/>
          </w:tcPr>
          <w:p w14:paraId="614BA0BA" w14:textId="1EFF9FD4" w:rsidR="00540CA9" w:rsidRPr="00564B42" w:rsidRDefault="00540CA9" w:rsidP="00564B42">
            <w:pPr>
              <w:pStyle w:val="TableParagraph"/>
              <w:tabs>
                <w:tab w:val="left" w:pos="1387"/>
              </w:tabs>
              <w:spacing w:line="268" w:lineRule="exact"/>
              <w:ind w:left="108"/>
              <w:jc w:val="both"/>
              <w:rPr>
                <w:sz w:val="24"/>
              </w:rPr>
            </w:pPr>
            <w:r w:rsidRPr="00564B42">
              <w:rPr>
                <w:sz w:val="24"/>
              </w:rPr>
              <w:t>Fatigue,</w:t>
            </w:r>
            <w:r w:rsidRPr="00564B42">
              <w:rPr>
                <w:sz w:val="24"/>
              </w:rPr>
              <w:tab/>
            </w:r>
            <w:r w:rsidRPr="00564B42">
              <w:rPr>
                <w:spacing w:val="-3"/>
                <w:sz w:val="24"/>
              </w:rPr>
              <w:t xml:space="preserve">malaise, </w:t>
            </w:r>
            <w:r w:rsidRPr="00564B42">
              <w:rPr>
                <w:sz w:val="24"/>
              </w:rPr>
              <w:t>asthenia,</w:t>
            </w:r>
            <w:r w:rsidRPr="00564B42">
              <w:rPr>
                <w:spacing w:val="-1"/>
                <w:sz w:val="24"/>
              </w:rPr>
              <w:t xml:space="preserve"> </w:t>
            </w:r>
            <w:r w:rsidRPr="00564B42">
              <w:rPr>
                <w:sz w:val="24"/>
              </w:rPr>
              <w:t>fever</w:t>
            </w:r>
          </w:p>
        </w:tc>
        <w:tc>
          <w:tcPr>
            <w:tcW w:w="2501" w:type="dxa"/>
          </w:tcPr>
          <w:p w14:paraId="2D61F163" w14:textId="77777777" w:rsidR="00540CA9" w:rsidRPr="00564B42" w:rsidRDefault="00540CA9" w:rsidP="00564B42">
            <w:pPr>
              <w:pStyle w:val="TableParagraph"/>
              <w:tabs>
                <w:tab w:val="left" w:pos="1432"/>
              </w:tabs>
              <w:spacing w:line="268" w:lineRule="exact"/>
              <w:ind w:left="105"/>
              <w:jc w:val="both"/>
              <w:rPr>
                <w:sz w:val="24"/>
              </w:rPr>
            </w:pPr>
          </w:p>
        </w:tc>
      </w:tr>
    </w:tbl>
    <w:p w14:paraId="2830869E" w14:textId="77777777" w:rsidR="00540CA9" w:rsidRPr="00564B42" w:rsidRDefault="00540CA9" w:rsidP="00564B42">
      <w:pPr>
        <w:autoSpaceDE w:val="0"/>
        <w:autoSpaceDN w:val="0"/>
        <w:adjustRightInd w:val="0"/>
        <w:spacing w:after="0"/>
        <w:ind w:left="-360" w:right="-333"/>
        <w:jc w:val="both"/>
        <w:rPr>
          <w:rFonts w:ascii="Times New Roman" w:hAnsi="Times New Roman" w:cs="Times New Roman"/>
          <w:b/>
          <w:sz w:val="24"/>
          <w:szCs w:val="24"/>
        </w:rPr>
      </w:pPr>
    </w:p>
    <w:p w14:paraId="0CD07175" w14:textId="3D19D3CF" w:rsidR="003C7FCC" w:rsidRPr="00564B42" w:rsidRDefault="00540CA9" w:rsidP="008131B7">
      <w:pPr>
        <w:autoSpaceDE w:val="0"/>
        <w:autoSpaceDN w:val="0"/>
        <w:adjustRightInd w:val="0"/>
        <w:spacing w:after="0" w:line="240" w:lineRule="auto"/>
        <w:ind w:left="-360"/>
        <w:jc w:val="both"/>
        <w:rPr>
          <w:rFonts w:ascii="Times New Roman" w:hAnsi="Times New Roman" w:cs="Times New Roman"/>
          <w:sz w:val="24"/>
          <w:szCs w:val="24"/>
        </w:rPr>
      </w:pPr>
      <w:r w:rsidRPr="00564B42">
        <w:rPr>
          <w:rFonts w:ascii="Times New Roman" w:hAnsi="Times New Roman" w:cs="Times New Roman"/>
          <w:b/>
          <w:sz w:val="24"/>
          <w:szCs w:val="24"/>
        </w:rPr>
        <w:t>Paediatric population:</w:t>
      </w:r>
      <w:r w:rsidRPr="00564B42">
        <w:rPr>
          <w:rFonts w:ascii="Times New Roman" w:hAnsi="Times New Roman" w:cs="Times New Roman"/>
          <w:sz w:val="24"/>
          <w:szCs w:val="24"/>
        </w:rPr>
        <w:t xml:space="preserve"> The pattern and incidence of adverse reactions and laboratory abnormalities recorded during paediatric clinical trials, excluding the genital candidiasis indication, are comparable to those seen in adults.</w:t>
      </w:r>
    </w:p>
    <w:p w14:paraId="2E8BFAFD" w14:textId="77777777" w:rsidR="00540CA9" w:rsidRPr="00564B42" w:rsidRDefault="00540CA9" w:rsidP="008131B7">
      <w:pPr>
        <w:autoSpaceDE w:val="0"/>
        <w:autoSpaceDN w:val="0"/>
        <w:adjustRightInd w:val="0"/>
        <w:spacing w:after="0" w:line="240" w:lineRule="auto"/>
        <w:ind w:left="-360"/>
        <w:jc w:val="both"/>
        <w:rPr>
          <w:rFonts w:ascii="Times New Roman" w:hAnsi="Times New Roman" w:cs="Times New Roman"/>
          <w:sz w:val="24"/>
          <w:szCs w:val="24"/>
        </w:rPr>
      </w:pPr>
    </w:p>
    <w:p w14:paraId="1A2E5111" w14:textId="77777777" w:rsidR="00B7586C" w:rsidRPr="00564B42" w:rsidRDefault="00B7586C" w:rsidP="008131B7">
      <w:pPr>
        <w:autoSpaceDE w:val="0"/>
        <w:autoSpaceDN w:val="0"/>
        <w:adjustRightInd w:val="0"/>
        <w:spacing w:after="0" w:line="240" w:lineRule="auto"/>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4.9 Overdose</w:t>
      </w:r>
    </w:p>
    <w:p w14:paraId="4C257201" w14:textId="77777777" w:rsidR="00540CA9" w:rsidRPr="00564B42" w:rsidRDefault="00540CA9" w:rsidP="008131B7">
      <w:pPr>
        <w:autoSpaceDE w:val="0"/>
        <w:autoSpaceDN w:val="0"/>
        <w:adjustRightInd w:val="0"/>
        <w:spacing w:after="0" w:line="240" w:lineRule="auto"/>
        <w:ind w:left="-360" w:right="-243"/>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There have been reports of overdose with Fluconazole Capsules and hallucination and paranoid behaviour have been concomitantly reported.</w:t>
      </w:r>
    </w:p>
    <w:p w14:paraId="539380E8" w14:textId="77777777" w:rsidR="00540CA9" w:rsidRPr="00564B42" w:rsidRDefault="00540CA9" w:rsidP="008131B7">
      <w:pPr>
        <w:autoSpaceDE w:val="0"/>
        <w:autoSpaceDN w:val="0"/>
        <w:adjustRightInd w:val="0"/>
        <w:spacing w:after="0" w:line="240" w:lineRule="auto"/>
        <w:ind w:left="-360" w:right="-243"/>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In the event of overdose, symptomatic treatment (with supportive measures and gastric lavage if necessary) may be adequate.</w:t>
      </w:r>
    </w:p>
    <w:p w14:paraId="193B38A1" w14:textId="5CC51760" w:rsidR="00B16891" w:rsidRPr="00564B42" w:rsidRDefault="00540CA9" w:rsidP="008131B7">
      <w:pPr>
        <w:autoSpaceDE w:val="0"/>
        <w:autoSpaceDN w:val="0"/>
        <w:adjustRightInd w:val="0"/>
        <w:spacing w:after="0" w:line="240" w:lineRule="auto"/>
        <w:ind w:left="-360" w:right="-243"/>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Fluconazole is largely excreted in the urine; forced volume diuresis would probably increase the elimination rate. A three-hour haemodialysis session decreases plasma levels by approximately 50%.</w:t>
      </w:r>
    </w:p>
    <w:p w14:paraId="428C4A91" w14:textId="77777777" w:rsidR="001E07C6" w:rsidRPr="00564B42" w:rsidRDefault="001E07C6" w:rsidP="008131B7">
      <w:pPr>
        <w:autoSpaceDE w:val="0"/>
        <w:autoSpaceDN w:val="0"/>
        <w:adjustRightInd w:val="0"/>
        <w:spacing w:after="0" w:line="240" w:lineRule="auto"/>
        <w:ind w:left="-360" w:right="-333"/>
        <w:jc w:val="both"/>
        <w:rPr>
          <w:rFonts w:ascii="Times New Roman" w:hAnsi="Times New Roman" w:cs="Times New Roman"/>
          <w:sz w:val="14"/>
          <w:szCs w:val="14"/>
        </w:rPr>
      </w:pPr>
    </w:p>
    <w:p w14:paraId="1B1579D0" w14:textId="77777777" w:rsidR="00FB7E94" w:rsidRPr="00564B42" w:rsidRDefault="00B7586C" w:rsidP="008131B7">
      <w:pPr>
        <w:autoSpaceDE w:val="0"/>
        <w:autoSpaceDN w:val="0"/>
        <w:adjustRightInd w:val="0"/>
        <w:spacing w:after="0" w:line="240" w:lineRule="auto"/>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5. Pharmacological properties</w:t>
      </w:r>
    </w:p>
    <w:p w14:paraId="21EEF1F0" w14:textId="77777777" w:rsidR="00B7586C" w:rsidRPr="00564B42" w:rsidRDefault="00B7586C" w:rsidP="008131B7">
      <w:pPr>
        <w:autoSpaceDE w:val="0"/>
        <w:autoSpaceDN w:val="0"/>
        <w:adjustRightInd w:val="0"/>
        <w:spacing w:after="0" w:line="240" w:lineRule="auto"/>
        <w:ind w:left="-360" w:right="-333"/>
        <w:jc w:val="both"/>
        <w:rPr>
          <w:rFonts w:ascii="Times New Roman" w:hAnsi="Times New Roman" w:cs="Times New Roman"/>
          <w:b/>
          <w:i/>
          <w:sz w:val="24"/>
          <w:szCs w:val="24"/>
        </w:rPr>
      </w:pPr>
      <w:r w:rsidRPr="00564B42">
        <w:rPr>
          <w:rFonts w:ascii="Times New Roman" w:hAnsi="Times New Roman" w:cs="Times New Roman"/>
          <w:b/>
          <w:i/>
          <w:sz w:val="24"/>
          <w:szCs w:val="24"/>
        </w:rPr>
        <w:t>5.1 Pharmacodynamic properties</w:t>
      </w:r>
    </w:p>
    <w:p w14:paraId="318FF742" w14:textId="4447D7F5" w:rsidR="00E66100" w:rsidRPr="00564B42" w:rsidRDefault="00E66100" w:rsidP="008131B7">
      <w:pPr>
        <w:pStyle w:val="NormalWeb"/>
        <w:shd w:val="clear" w:color="auto" w:fill="FFFFFF"/>
        <w:spacing w:before="0" w:beforeAutospacing="0" w:after="0" w:afterAutospacing="0"/>
        <w:ind w:left="-360" w:right="-423"/>
        <w:jc w:val="both"/>
      </w:pPr>
      <w:r w:rsidRPr="00564B42">
        <w:t xml:space="preserve">Pharmacotherapeutic group: </w:t>
      </w:r>
      <w:r w:rsidR="00540CA9" w:rsidRPr="00564B42">
        <w:t>Antimycotics for systemic use, triazole derivatives.</w:t>
      </w:r>
    </w:p>
    <w:p w14:paraId="7BCE13AA" w14:textId="2D3A1DEC" w:rsidR="00540CA9" w:rsidRPr="00564B42" w:rsidRDefault="00540CA9" w:rsidP="008131B7">
      <w:pPr>
        <w:pStyle w:val="NormalWeb"/>
        <w:shd w:val="clear" w:color="auto" w:fill="FFFFFF"/>
        <w:spacing w:before="0" w:beforeAutospacing="0" w:after="0" w:afterAutospacing="0"/>
        <w:ind w:left="-360" w:right="-423"/>
        <w:jc w:val="both"/>
      </w:pPr>
      <w:r w:rsidRPr="00564B42">
        <w:rPr>
          <w:b/>
        </w:rPr>
        <w:t xml:space="preserve">ATC Code: </w:t>
      </w:r>
      <w:r w:rsidRPr="00564B42">
        <w:t>J02AC01</w:t>
      </w:r>
    </w:p>
    <w:p w14:paraId="7B0D669B" w14:textId="77777777" w:rsidR="00E66100" w:rsidRPr="00564B42" w:rsidRDefault="00E66100" w:rsidP="008131B7">
      <w:pPr>
        <w:pStyle w:val="NormalWeb"/>
        <w:shd w:val="clear" w:color="auto" w:fill="FFFFFF"/>
        <w:spacing w:before="0" w:beforeAutospacing="0" w:after="0" w:afterAutospacing="0"/>
        <w:ind w:left="-360" w:right="-423"/>
        <w:jc w:val="both"/>
        <w:rPr>
          <w:u w:val="single"/>
        </w:rPr>
      </w:pPr>
      <w:r w:rsidRPr="00564B42">
        <w:rPr>
          <w:u w:val="single"/>
        </w:rPr>
        <w:t>Mechanism of action</w:t>
      </w:r>
    </w:p>
    <w:p w14:paraId="0F3050C3" w14:textId="77777777" w:rsidR="00540CA9" w:rsidRPr="00564B42" w:rsidRDefault="00540CA9" w:rsidP="008131B7">
      <w:pPr>
        <w:pStyle w:val="BodyText"/>
        <w:spacing w:before="90"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 xml:space="preserve">Fluconazole is a triazole antifungal agent. Its primary mode of action is the inhibition of fungal cytochrome P-450-mediated 14 alpha-lanosterol demethylation, an essential step in fungal ergosterol biosynthesis. The accumulation of 14 alpha-methyl sterols correlates with the subsequent loss of ergosterol in the fungal cell membrane and may be responsible for the antifungal activity of </w:t>
      </w:r>
      <w:r w:rsidRPr="00564B42">
        <w:rPr>
          <w:rFonts w:ascii="Times New Roman" w:hAnsi="Times New Roman" w:cs="Times New Roman"/>
          <w:sz w:val="24"/>
          <w:szCs w:val="24"/>
        </w:rPr>
        <w:lastRenderedPageBreak/>
        <w:t>fluconazole. Fluconazole has been shown to be more selective for fungal cytochrome P-450 enzymes than for various mammalian cytochrome P-450 enzyme systems.</w:t>
      </w:r>
    </w:p>
    <w:p w14:paraId="4B96F99F" w14:textId="77777777" w:rsidR="00540CA9" w:rsidRPr="00564B42" w:rsidRDefault="00540CA9"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Fluconazole 50 mg daily given up to 28 days has been shown not to effect testosterone plasma concentrations in males or steroid concentration in females of child-bearing age. Fluconazole  200 mg to 400 mg daily has no clinically significant effect on endogenous steroid levels or on ACTH stimulated response in healthy male volunteers. Interaction studies with antipyrine indicate that single or multiple doses of fluconazole 50 mg do not affect its</w:t>
      </w:r>
      <w:r w:rsidRPr="00564B42">
        <w:rPr>
          <w:rFonts w:ascii="Times New Roman" w:hAnsi="Times New Roman" w:cs="Times New Roman"/>
          <w:spacing w:val="-14"/>
          <w:sz w:val="24"/>
          <w:szCs w:val="24"/>
        </w:rPr>
        <w:t xml:space="preserve"> </w:t>
      </w:r>
      <w:r w:rsidRPr="00564B42">
        <w:rPr>
          <w:rFonts w:ascii="Times New Roman" w:hAnsi="Times New Roman" w:cs="Times New Roman"/>
          <w:sz w:val="24"/>
          <w:szCs w:val="24"/>
        </w:rPr>
        <w:t>metabolism.</w:t>
      </w:r>
    </w:p>
    <w:p w14:paraId="79F3141E" w14:textId="77777777" w:rsidR="00540CA9" w:rsidRPr="00564B42" w:rsidRDefault="00540CA9" w:rsidP="008131B7">
      <w:pPr>
        <w:spacing w:before="1"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Susceptibility </w:t>
      </w:r>
      <w:r w:rsidRPr="00564B42">
        <w:rPr>
          <w:rFonts w:ascii="Times New Roman" w:hAnsi="Times New Roman" w:cs="Times New Roman"/>
          <w:b/>
          <w:i/>
          <w:sz w:val="24"/>
          <w:szCs w:val="24"/>
        </w:rPr>
        <w:t xml:space="preserve">in vitro: </w:t>
      </w:r>
      <w:r w:rsidRPr="00564B42">
        <w:rPr>
          <w:rFonts w:ascii="Times New Roman" w:hAnsi="Times New Roman" w:cs="Times New Roman"/>
          <w:i/>
          <w:sz w:val="24"/>
          <w:szCs w:val="24"/>
        </w:rPr>
        <w:t>In vitro</w:t>
      </w:r>
      <w:r w:rsidRPr="00564B42">
        <w:rPr>
          <w:rFonts w:ascii="Times New Roman" w:hAnsi="Times New Roman" w:cs="Times New Roman"/>
          <w:sz w:val="24"/>
          <w:szCs w:val="24"/>
        </w:rPr>
        <w:t xml:space="preserve">, fluconazole displays antifungal activity against most clinically common </w:t>
      </w:r>
      <w:r w:rsidRPr="00564B42">
        <w:rPr>
          <w:rFonts w:ascii="Times New Roman" w:hAnsi="Times New Roman" w:cs="Times New Roman"/>
          <w:i/>
          <w:sz w:val="24"/>
          <w:szCs w:val="24"/>
        </w:rPr>
        <w:t xml:space="preserve">Candida </w:t>
      </w:r>
      <w:r w:rsidRPr="00564B42">
        <w:rPr>
          <w:rFonts w:ascii="Times New Roman" w:hAnsi="Times New Roman" w:cs="Times New Roman"/>
          <w:sz w:val="24"/>
          <w:szCs w:val="24"/>
        </w:rPr>
        <w:t xml:space="preserve">species (including </w:t>
      </w:r>
      <w:r w:rsidRPr="00564B42">
        <w:rPr>
          <w:rFonts w:ascii="Times New Roman" w:hAnsi="Times New Roman" w:cs="Times New Roman"/>
          <w:i/>
          <w:sz w:val="24"/>
          <w:szCs w:val="24"/>
        </w:rPr>
        <w:t xml:space="preserve">C. albicans, C. parapsilosis, C. tropicalis). C. glabrata </w:t>
      </w:r>
      <w:r w:rsidRPr="00564B42">
        <w:rPr>
          <w:rFonts w:ascii="Times New Roman" w:hAnsi="Times New Roman" w:cs="Times New Roman"/>
          <w:sz w:val="24"/>
          <w:szCs w:val="24"/>
        </w:rPr>
        <w:t xml:space="preserve">shows a wide range of susceptibility while </w:t>
      </w:r>
      <w:r w:rsidRPr="00564B42">
        <w:rPr>
          <w:rFonts w:ascii="Times New Roman" w:hAnsi="Times New Roman" w:cs="Times New Roman"/>
          <w:i/>
          <w:sz w:val="24"/>
          <w:szCs w:val="24"/>
        </w:rPr>
        <w:t xml:space="preserve">C. krusei </w:t>
      </w:r>
      <w:r w:rsidRPr="00564B42">
        <w:rPr>
          <w:rFonts w:ascii="Times New Roman" w:hAnsi="Times New Roman" w:cs="Times New Roman"/>
          <w:sz w:val="24"/>
          <w:szCs w:val="24"/>
        </w:rPr>
        <w:t>is resistant to fluconazole.</w:t>
      </w:r>
    </w:p>
    <w:p w14:paraId="7D57C0A0" w14:textId="77777777" w:rsidR="00540CA9" w:rsidRPr="00564B42" w:rsidRDefault="00540CA9" w:rsidP="008131B7">
      <w:pPr>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 xml:space="preserve">Fluconazole also exhibits activity </w:t>
      </w:r>
      <w:r w:rsidRPr="00564B42">
        <w:rPr>
          <w:rFonts w:ascii="Times New Roman" w:hAnsi="Times New Roman" w:cs="Times New Roman"/>
          <w:i/>
          <w:sz w:val="24"/>
          <w:szCs w:val="24"/>
        </w:rPr>
        <w:t xml:space="preserve">in vitro </w:t>
      </w:r>
      <w:r w:rsidRPr="00564B42">
        <w:rPr>
          <w:rFonts w:ascii="Times New Roman" w:hAnsi="Times New Roman" w:cs="Times New Roman"/>
          <w:sz w:val="24"/>
          <w:szCs w:val="24"/>
        </w:rPr>
        <w:t xml:space="preserve">against </w:t>
      </w:r>
      <w:r w:rsidRPr="00564B42">
        <w:rPr>
          <w:rFonts w:ascii="Times New Roman" w:hAnsi="Times New Roman" w:cs="Times New Roman"/>
          <w:i/>
          <w:sz w:val="24"/>
          <w:szCs w:val="24"/>
        </w:rPr>
        <w:t xml:space="preserve">Cryptococcus neoformans </w:t>
      </w:r>
      <w:r w:rsidRPr="00564B42">
        <w:rPr>
          <w:rFonts w:ascii="Times New Roman" w:hAnsi="Times New Roman" w:cs="Times New Roman"/>
          <w:sz w:val="24"/>
          <w:szCs w:val="24"/>
        </w:rPr>
        <w:t xml:space="preserve">and </w:t>
      </w:r>
      <w:r w:rsidRPr="00564B42">
        <w:rPr>
          <w:rFonts w:ascii="Times New Roman" w:hAnsi="Times New Roman" w:cs="Times New Roman"/>
          <w:i/>
          <w:sz w:val="24"/>
          <w:szCs w:val="24"/>
        </w:rPr>
        <w:t xml:space="preserve">Cryptococcus. gattii </w:t>
      </w:r>
      <w:r w:rsidRPr="00564B42">
        <w:rPr>
          <w:rFonts w:ascii="Times New Roman" w:hAnsi="Times New Roman" w:cs="Times New Roman"/>
          <w:sz w:val="24"/>
          <w:szCs w:val="24"/>
        </w:rPr>
        <w:t xml:space="preserve">as well as the endemic moulds </w:t>
      </w:r>
      <w:r w:rsidRPr="00564B42">
        <w:rPr>
          <w:rFonts w:ascii="Times New Roman" w:hAnsi="Times New Roman" w:cs="Times New Roman"/>
          <w:i/>
          <w:sz w:val="24"/>
          <w:szCs w:val="24"/>
        </w:rPr>
        <w:t>Blastomyces dermatiditis</w:t>
      </w:r>
      <w:r w:rsidRPr="00564B42">
        <w:rPr>
          <w:rFonts w:ascii="Times New Roman" w:hAnsi="Times New Roman" w:cs="Times New Roman"/>
          <w:sz w:val="24"/>
          <w:szCs w:val="24"/>
        </w:rPr>
        <w:t xml:space="preserve">, </w:t>
      </w:r>
      <w:r w:rsidRPr="00564B42">
        <w:rPr>
          <w:rFonts w:ascii="Times New Roman" w:hAnsi="Times New Roman" w:cs="Times New Roman"/>
          <w:i/>
          <w:sz w:val="24"/>
          <w:szCs w:val="24"/>
        </w:rPr>
        <w:t>Coccidioides immitis</w:t>
      </w:r>
      <w:r w:rsidRPr="00564B42">
        <w:rPr>
          <w:rFonts w:ascii="Times New Roman" w:hAnsi="Times New Roman" w:cs="Times New Roman"/>
          <w:sz w:val="24"/>
          <w:szCs w:val="24"/>
        </w:rPr>
        <w:t xml:space="preserve">, </w:t>
      </w:r>
      <w:r w:rsidRPr="00564B42">
        <w:rPr>
          <w:rFonts w:ascii="Times New Roman" w:hAnsi="Times New Roman" w:cs="Times New Roman"/>
          <w:i/>
          <w:sz w:val="24"/>
          <w:szCs w:val="24"/>
        </w:rPr>
        <w:t xml:space="preserve">Histoplasma capsulatum </w:t>
      </w:r>
      <w:r w:rsidRPr="00564B42">
        <w:rPr>
          <w:rFonts w:ascii="Times New Roman" w:hAnsi="Times New Roman" w:cs="Times New Roman"/>
          <w:sz w:val="24"/>
          <w:szCs w:val="24"/>
        </w:rPr>
        <w:t xml:space="preserve">and </w:t>
      </w:r>
      <w:r w:rsidRPr="00564B42">
        <w:rPr>
          <w:rFonts w:ascii="Times New Roman" w:hAnsi="Times New Roman" w:cs="Times New Roman"/>
          <w:i/>
          <w:sz w:val="24"/>
          <w:szCs w:val="24"/>
        </w:rPr>
        <w:t>Paracoccidioides brasiliensis</w:t>
      </w:r>
      <w:r w:rsidRPr="00564B42">
        <w:rPr>
          <w:rFonts w:ascii="Times New Roman" w:hAnsi="Times New Roman" w:cs="Times New Roman"/>
          <w:sz w:val="24"/>
          <w:szCs w:val="24"/>
        </w:rPr>
        <w:t>.</w:t>
      </w:r>
    </w:p>
    <w:p w14:paraId="6AE0CF19" w14:textId="77777777" w:rsidR="00540CA9" w:rsidRPr="00564B42" w:rsidRDefault="00540CA9"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Pharmacokinetic/Pharmacodynamic relationship: </w:t>
      </w:r>
      <w:r w:rsidRPr="00564B42">
        <w:rPr>
          <w:rFonts w:ascii="Times New Roman" w:hAnsi="Times New Roman" w:cs="Times New Roman"/>
          <w:spacing w:val="-3"/>
          <w:sz w:val="24"/>
          <w:szCs w:val="24"/>
        </w:rPr>
        <w:t xml:space="preserve">In </w:t>
      </w:r>
      <w:r w:rsidRPr="00564B42">
        <w:rPr>
          <w:rFonts w:ascii="Times New Roman" w:hAnsi="Times New Roman" w:cs="Times New Roman"/>
          <w:sz w:val="24"/>
          <w:szCs w:val="24"/>
        </w:rPr>
        <w:t xml:space="preserve">animal studies, there is a correlation between MIC values and efficacy against experimental mycoses due to </w:t>
      </w:r>
      <w:r w:rsidRPr="00564B42">
        <w:rPr>
          <w:rFonts w:ascii="Times New Roman" w:hAnsi="Times New Roman" w:cs="Times New Roman"/>
          <w:i/>
          <w:sz w:val="24"/>
          <w:szCs w:val="24"/>
        </w:rPr>
        <w:t xml:space="preserve">Candida </w:t>
      </w:r>
      <w:r w:rsidRPr="00564B42">
        <w:rPr>
          <w:rFonts w:ascii="Times New Roman" w:hAnsi="Times New Roman" w:cs="Times New Roman"/>
          <w:sz w:val="24"/>
          <w:szCs w:val="24"/>
        </w:rPr>
        <w:t xml:space="preserve">spp. </w:t>
      </w:r>
      <w:r w:rsidRPr="00564B42">
        <w:rPr>
          <w:rFonts w:ascii="Times New Roman" w:hAnsi="Times New Roman" w:cs="Times New Roman"/>
          <w:spacing w:val="-3"/>
          <w:sz w:val="24"/>
          <w:szCs w:val="24"/>
        </w:rPr>
        <w:t xml:space="preserve">In </w:t>
      </w:r>
      <w:r w:rsidRPr="00564B42">
        <w:rPr>
          <w:rFonts w:ascii="Times New Roman" w:hAnsi="Times New Roman" w:cs="Times New Roman"/>
          <w:sz w:val="24"/>
          <w:szCs w:val="24"/>
        </w:rPr>
        <w:t>clinical studies, there is an almost 1:1 linear relationship between the AUC and the dose of fluconazole. There is also a direct though imperfect relationship between the AUC or dose and a successful clinical response of oral candidosis and to a lesser extent candidaemia to treatment. Similarly cure is less likely for infections caused by strains with a higher fluconazole</w:t>
      </w:r>
      <w:r w:rsidRPr="00564B42">
        <w:rPr>
          <w:rFonts w:ascii="Times New Roman" w:hAnsi="Times New Roman" w:cs="Times New Roman"/>
          <w:spacing w:val="-16"/>
          <w:sz w:val="24"/>
          <w:szCs w:val="24"/>
        </w:rPr>
        <w:t xml:space="preserve"> </w:t>
      </w:r>
      <w:r w:rsidRPr="00564B42">
        <w:rPr>
          <w:rFonts w:ascii="Times New Roman" w:hAnsi="Times New Roman" w:cs="Times New Roman"/>
          <w:sz w:val="24"/>
          <w:szCs w:val="24"/>
        </w:rPr>
        <w:t>MIC</w:t>
      </w:r>
    </w:p>
    <w:p w14:paraId="661F07B6" w14:textId="4D75D463" w:rsidR="00540CA9" w:rsidRPr="00564B42" w:rsidRDefault="00540CA9"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u w:val="thick"/>
        </w:rPr>
        <w:t>Mechanism of Resistance</w:t>
      </w:r>
    </w:p>
    <w:p w14:paraId="4F77B811" w14:textId="77777777" w:rsidR="00540CA9" w:rsidRPr="00564B42" w:rsidRDefault="00540CA9" w:rsidP="008131B7">
      <w:pPr>
        <w:pStyle w:val="BodyText"/>
        <w:spacing w:before="132" w:line="240" w:lineRule="auto"/>
        <w:ind w:left="-360" w:right="-333"/>
        <w:jc w:val="both"/>
        <w:rPr>
          <w:rFonts w:ascii="Times New Roman" w:hAnsi="Times New Roman" w:cs="Times New Roman"/>
          <w:sz w:val="24"/>
          <w:szCs w:val="24"/>
        </w:rPr>
      </w:pPr>
      <w:r w:rsidRPr="00564B42">
        <w:rPr>
          <w:rFonts w:ascii="Times New Roman" w:hAnsi="Times New Roman" w:cs="Times New Roman"/>
          <w:i/>
          <w:sz w:val="24"/>
          <w:szCs w:val="24"/>
        </w:rPr>
        <w:t xml:space="preserve">Candida </w:t>
      </w:r>
      <w:r w:rsidRPr="00564B42">
        <w:rPr>
          <w:rFonts w:ascii="Times New Roman" w:hAnsi="Times New Roman" w:cs="Times New Roman"/>
          <w:sz w:val="24"/>
          <w:szCs w:val="24"/>
        </w:rPr>
        <w:t xml:space="preserve">spp have developed a number of resistance mechanisms to azole antifungal agents. Fungal strains which have developed one or more of these resistance mechanisms are known to exhibit high minimum inhibitory concentrations (MICs) to fluconazole which impacts adversely efficacy </w:t>
      </w:r>
      <w:r w:rsidRPr="00564B42">
        <w:rPr>
          <w:rFonts w:ascii="Times New Roman" w:hAnsi="Times New Roman" w:cs="Times New Roman"/>
          <w:i/>
          <w:sz w:val="24"/>
          <w:szCs w:val="24"/>
        </w:rPr>
        <w:t xml:space="preserve">in vivo </w:t>
      </w:r>
      <w:r w:rsidRPr="00564B42">
        <w:rPr>
          <w:rFonts w:ascii="Times New Roman" w:hAnsi="Times New Roman" w:cs="Times New Roman"/>
          <w:sz w:val="24"/>
          <w:szCs w:val="24"/>
        </w:rPr>
        <w:t>and</w:t>
      </w:r>
      <w:r w:rsidRPr="00564B42">
        <w:rPr>
          <w:rFonts w:ascii="Times New Roman" w:hAnsi="Times New Roman" w:cs="Times New Roman"/>
          <w:spacing w:val="-4"/>
          <w:sz w:val="24"/>
          <w:szCs w:val="24"/>
        </w:rPr>
        <w:t xml:space="preserve"> </w:t>
      </w:r>
      <w:r w:rsidRPr="00564B42">
        <w:rPr>
          <w:rFonts w:ascii="Times New Roman" w:hAnsi="Times New Roman" w:cs="Times New Roman"/>
          <w:sz w:val="24"/>
          <w:szCs w:val="24"/>
        </w:rPr>
        <w:t>clinically.</w:t>
      </w:r>
    </w:p>
    <w:p w14:paraId="3EDD540B" w14:textId="77777777" w:rsidR="00540CA9" w:rsidRPr="00564B42" w:rsidRDefault="00540CA9" w:rsidP="008131B7">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 xml:space="preserve">There have been reports of superinfection with </w:t>
      </w:r>
      <w:r w:rsidRPr="00564B42">
        <w:rPr>
          <w:rFonts w:ascii="Times New Roman" w:hAnsi="Times New Roman" w:cs="Times New Roman"/>
          <w:i/>
          <w:sz w:val="24"/>
          <w:szCs w:val="24"/>
        </w:rPr>
        <w:t xml:space="preserve">Candida </w:t>
      </w:r>
      <w:r w:rsidRPr="00564B42">
        <w:rPr>
          <w:rFonts w:ascii="Times New Roman" w:hAnsi="Times New Roman" w:cs="Times New Roman"/>
          <w:sz w:val="24"/>
          <w:szCs w:val="24"/>
        </w:rPr>
        <w:t xml:space="preserve">species other than </w:t>
      </w:r>
      <w:r w:rsidRPr="00564B42">
        <w:rPr>
          <w:rFonts w:ascii="Times New Roman" w:hAnsi="Times New Roman" w:cs="Times New Roman"/>
          <w:i/>
          <w:sz w:val="24"/>
          <w:szCs w:val="24"/>
        </w:rPr>
        <w:t>C. albicans</w:t>
      </w:r>
      <w:r w:rsidRPr="00564B42">
        <w:rPr>
          <w:rFonts w:ascii="Times New Roman" w:hAnsi="Times New Roman" w:cs="Times New Roman"/>
          <w:sz w:val="24"/>
          <w:szCs w:val="24"/>
        </w:rPr>
        <w:t xml:space="preserve">, which are often inherently not susceptible to fluconazole (e.g. </w:t>
      </w:r>
      <w:r w:rsidRPr="00564B42">
        <w:rPr>
          <w:rFonts w:ascii="Times New Roman" w:hAnsi="Times New Roman" w:cs="Times New Roman"/>
          <w:i/>
          <w:sz w:val="24"/>
          <w:szCs w:val="24"/>
        </w:rPr>
        <w:t>Candida krusei</w:t>
      </w:r>
      <w:r w:rsidRPr="00564B42">
        <w:rPr>
          <w:rFonts w:ascii="Times New Roman" w:hAnsi="Times New Roman" w:cs="Times New Roman"/>
          <w:sz w:val="24"/>
          <w:szCs w:val="24"/>
        </w:rPr>
        <w:t>). Such cases may require alternative antifungal</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therapy.</w:t>
      </w:r>
    </w:p>
    <w:p w14:paraId="10808105" w14:textId="130C5ABA" w:rsidR="00540CA9" w:rsidRDefault="00540CA9" w:rsidP="008131B7">
      <w:pPr>
        <w:pStyle w:val="BodyText"/>
        <w:spacing w:before="90" w:after="6"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u w:val="thick"/>
        </w:rPr>
        <w:t>Breakpoints:</w:t>
      </w:r>
      <w:r w:rsidRPr="00564B42">
        <w:rPr>
          <w:rFonts w:ascii="Times New Roman" w:hAnsi="Times New Roman" w:cs="Times New Roman"/>
          <w:b/>
          <w:sz w:val="24"/>
          <w:szCs w:val="24"/>
        </w:rPr>
        <w:t xml:space="preserve"> </w:t>
      </w:r>
      <w:r w:rsidRPr="00564B42">
        <w:rPr>
          <w:rFonts w:ascii="Times New Roman" w:hAnsi="Times New Roman" w:cs="Times New Roman"/>
          <w:sz w:val="24"/>
          <w:szCs w:val="24"/>
        </w:rPr>
        <w:t xml:space="preserve">Based on analyses of pharmacokinetic/pharmacodynamic (PK/PD) data, susceptibility </w:t>
      </w:r>
      <w:r w:rsidRPr="00564B42">
        <w:rPr>
          <w:rFonts w:ascii="Times New Roman" w:hAnsi="Times New Roman" w:cs="Times New Roman"/>
          <w:i/>
          <w:sz w:val="24"/>
          <w:szCs w:val="24"/>
        </w:rPr>
        <w:t xml:space="preserve">in vitro </w:t>
      </w:r>
      <w:r w:rsidRPr="00564B42">
        <w:rPr>
          <w:rFonts w:ascii="Times New Roman" w:hAnsi="Times New Roman" w:cs="Times New Roman"/>
          <w:sz w:val="24"/>
          <w:szCs w:val="24"/>
        </w:rPr>
        <w:t xml:space="preserve">and clinical response EUCAST-AFST (European Committee on Antimicrobial susceptibility Testing-subcommittee on Antifungal Susceptibility Testing) has determined breakpoints for fluconazole for </w:t>
      </w:r>
      <w:r w:rsidRPr="00564B42">
        <w:rPr>
          <w:rFonts w:ascii="Times New Roman" w:hAnsi="Times New Roman" w:cs="Times New Roman"/>
          <w:i/>
          <w:sz w:val="24"/>
          <w:szCs w:val="24"/>
        </w:rPr>
        <w:t xml:space="preserve">Candida </w:t>
      </w:r>
      <w:r w:rsidRPr="00564B42">
        <w:rPr>
          <w:rFonts w:ascii="Times New Roman" w:hAnsi="Times New Roman" w:cs="Times New Roman"/>
          <w:sz w:val="24"/>
          <w:szCs w:val="24"/>
        </w:rPr>
        <w:t>species (EUCAST Fluconazole rational document (2007)-version 2). These have been divided into non-species related breakpoints; which have been determined mainly on the basis of PK/PD data and are independent of MIC distributions of specific species, and species related breakpoints for those species most frequently associated with human infection. These breakpoints are given in the table</w:t>
      </w:r>
      <w:r w:rsidRPr="00564B42">
        <w:rPr>
          <w:rFonts w:ascii="Times New Roman" w:hAnsi="Times New Roman" w:cs="Times New Roman"/>
          <w:spacing w:val="-12"/>
          <w:sz w:val="24"/>
          <w:szCs w:val="24"/>
        </w:rPr>
        <w:t xml:space="preserve"> </w:t>
      </w:r>
      <w:r w:rsidRPr="00564B42">
        <w:rPr>
          <w:rFonts w:ascii="Times New Roman" w:hAnsi="Times New Roman" w:cs="Times New Roman"/>
          <w:sz w:val="24"/>
          <w:szCs w:val="24"/>
        </w:rPr>
        <w:t>below:</w:t>
      </w:r>
    </w:p>
    <w:p w14:paraId="5C0140A0" w14:textId="77777777" w:rsidR="0083549B" w:rsidRPr="00564B42" w:rsidRDefault="0083549B" w:rsidP="008131B7">
      <w:pPr>
        <w:pStyle w:val="BodyText"/>
        <w:spacing w:before="90" w:after="6" w:line="240" w:lineRule="auto"/>
        <w:ind w:left="-360" w:right="-333"/>
        <w:jc w:val="both"/>
        <w:rPr>
          <w:rFonts w:ascii="Times New Roman" w:hAnsi="Times New Roman" w:cs="Times New Roman"/>
          <w:sz w:val="24"/>
          <w:szCs w:val="24"/>
        </w:rPr>
      </w:pPr>
    </w:p>
    <w:tbl>
      <w:tblPr>
        <w:tblW w:w="993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1080"/>
        <w:gridCol w:w="1080"/>
        <w:gridCol w:w="989"/>
        <w:gridCol w:w="1440"/>
        <w:gridCol w:w="1171"/>
        <w:gridCol w:w="2357"/>
      </w:tblGrid>
      <w:tr w:rsidR="00564B42" w:rsidRPr="00564B42" w14:paraId="49C5A79D" w14:textId="77777777" w:rsidTr="0083549B">
        <w:trPr>
          <w:trHeight w:val="551"/>
        </w:trPr>
        <w:tc>
          <w:tcPr>
            <w:tcW w:w="1814" w:type="dxa"/>
          </w:tcPr>
          <w:p w14:paraId="51B0BF89" w14:textId="77777777" w:rsidR="00540CA9" w:rsidRPr="00564B42" w:rsidRDefault="00540CA9" w:rsidP="00564B42">
            <w:pPr>
              <w:pStyle w:val="TableParagraph"/>
              <w:spacing w:line="273" w:lineRule="exact"/>
              <w:jc w:val="both"/>
              <w:rPr>
                <w:b/>
                <w:sz w:val="24"/>
              </w:rPr>
            </w:pPr>
            <w:r w:rsidRPr="00564B42">
              <w:rPr>
                <w:b/>
                <w:sz w:val="24"/>
              </w:rPr>
              <w:t>Antifungal</w:t>
            </w:r>
          </w:p>
        </w:tc>
        <w:tc>
          <w:tcPr>
            <w:tcW w:w="5760" w:type="dxa"/>
            <w:gridSpan w:val="5"/>
          </w:tcPr>
          <w:p w14:paraId="04B0CF67" w14:textId="77777777" w:rsidR="00540CA9" w:rsidRPr="00564B42" w:rsidRDefault="00540CA9" w:rsidP="00564B42">
            <w:pPr>
              <w:pStyle w:val="TableParagraph"/>
              <w:spacing w:line="275" w:lineRule="exact"/>
              <w:ind w:left="105"/>
              <w:jc w:val="both"/>
              <w:rPr>
                <w:b/>
                <w:sz w:val="24"/>
              </w:rPr>
            </w:pPr>
            <w:r w:rsidRPr="00564B42">
              <w:rPr>
                <w:b/>
                <w:sz w:val="24"/>
              </w:rPr>
              <w:t>Species-related breakpoints (S</w:t>
            </w:r>
            <w:r w:rsidRPr="00564B42">
              <w:rPr>
                <w:b/>
                <w:sz w:val="24"/>
                <w:u w:val="thick"/>
              </w:rPr>
              <w:t>&lt;</w:t>
            </w:r>
            <w:r w:rsidRPr="00564B42">
              <w:rPr>
                <w:b/>
                <w:sz w:val="24"/>
              </w:rPr>
              <w:t>/R&gt;)</w:t>
            </w:r>
          </w:p>
        </w:tc>
        <w:tc>
          <w:tcPr>
            <w:tcW w:w="2357" w:type="dxa"/>
          </w:tcPr>
          <w:p w14:paraId="0E1153B9" w14:textId="77777777" w:rsidR="00540CA9" w:rsidRPr="00564B42" w:rsidRDefault="00540CA9" w:rsidP="00564B42">
            <w:pPr>
              <w:pStyle w:val="TableParagraph"/>
              <w:spacing w:line="276" w:lineRule="exact"/>
              <w:ind w:left="105" w:right="229"/>
              <w:jc w:val="both"/>
              <w:rPr>
                <w:b/>
                <w:sz w:val="24"/>
              </w:rPr>
            </w:pPr>
            <w:r w:rsidRPr="00564B42">
              <w:rPr>
                <w:b/>
                <w:sz w:val="24"/>
              </w:rPr>
              <w:t>Non-species related breakpoints S</w:t>
            </w:r>
            <w:r w:rsidRPr="00564B42">
              <w:rPr>
                <w:b/>
                <w:sz w:val="24"/>
                <w:u w:val="thick"/>
              </w:rPr>
              <w:t>&lt;</w:t>
            </w:r>
            <w:r w:rsidRPr="00564B42">
              <w:rPr>
                <w:b/>
                <w:sz w:val="24"/>
              </w:rPr>
              <w:t>/R&gt;</w:t>
            </w:r>
          </w:p>
        </w:tc>
      </w:tr>
      <w:tr w:rsidR="00564B42" w:rsidRPr="00564B42" w14:paraId="11046CC1" w14:textId="77777777" w:rsidTr="0083549B">
        <w:trPr>
          <w:trHeight w:val="551"/>
        </w:trPr>
        <w:tc>
          <w:tcPr>
            <w:tcW w:w="1814" w:type="dxa"/>
          </w:tcPr>
          <w:p w14:paraId="3EBC0FD9" w14:textId="77777777" w:rsidR="00540CA9" w:rsidRPr="00564B42" w:rsidRDefault="00540CA9" w:rsidP="00564B42">
            <w:pPr>
              <w:pStyle w:val="TableParagraph"/>
              <w:ind w:left="0"/>
              <w:jc w:val="both"/>
              <w:rPr>
                <w:sz w:val="24"/>
              </w:rPr>
            </w:pPr>
          </w:p>
        </w:tc>
        <w:tc>
          <w:tcPr>
            <w:tcW w:w="1080" w:type="dxa"/>
          </w:tcPr>
          <w:p w14:paraId="4FB8BB31" w14:textId="77777777" w:rsidR="00540CA9" w:rsidRPr="00564B42" w:rsidRDefault="00540CA9" w:rsidP="00564B42">
            <w:pPr>
              <w:pStyle w:val="TableParagraph"/>
              <w:spacing w:line="267" w:lineRule="exact"/>
              <w:ind w:left="105"/>
              <w:jc w:val="both"/>
              <w:rPr>
                <w:i/>
                <w:sz w:val="24"/>
              </w:rPr>
            </w:pPr>
            <w:r w:rsidRPr="00564B42">
              <w:rPr>
                <w:i/>
                <w:sz w:val="24"/>
              </w:rPr>
              <w:t>Candida</w:t>
            </w:r>
          </w:p>
          <w:p w14:paraId="7CF22BF3" w14:textId="77777777" w:rsidR="00540CA9" w:rsidRPr="00564B42" w:rsidRDefault="00540CA9" w:rsidP="00564B42">
            <w:pPr>
              <w:pStyle w:val="TableParagraph"/>
              <w:spacing w:line="264" w:lineRule="exact"/>
              <w:ind w:left="105"/>
              <w:jc w:val="both"/>
              <w:rPr>
                <w:i/>
                <w:sz w:val="24"/>
              </w:rPr>
            </w:pPr>
            <w:r w:rsidRPr="00564B42">
              <w:rPr>
                <w:i/>
                <w:sz w:val="24"/>
              </w:rPr>
              <w:t>albicans</w:t>
            </w:r>
          </w:p>
        </w:tc>
        <w:tc>
          <w:tcPr>
            <w:tcW w:w="1080" w:type="dxa"/>
          </w:tcPr>
          <w:p w14:paraId="718D11B8" w14:textId="77777777" w:rsidR="00540CA9" w:rsidRPr="00564B42" w:rsidRDefault="00540CA9" w:rsidP="00564B42">
            <w:pPr>
              <w:pStyle w:val="TableParagraph"/>
              <w:spacing w:line="267" w:lineRule="exact"/>
              <w:ind w:left="105"/>
              <w:jc w:val="both"/>
              <w:rPr>
                <w:i/>
                <w:sz w:val="24"/>
              </w:rPr>
            </w:pPr>
            <w:r w:rsidRPr="00564B42">
              <w:rPr>
                <w:i/>
                <w:sz w:val="24"/>
              </w:rPr>
              <w:t>Candida</w:t>
            </w:r>
          </w:p>
          <w:p w14:paraId="4BEDB734" w14:textId="77777777" w:rsidR="00540CA9" w:rsidRPr="00564B42" w:rsidRDefault="00540CA9" w:rsidP="00564B42">
            <w:pPr>
              <w:pStyle w:val="TableParagraph"/>
              <w:spacing w:line="264" w:lineRule="exact"/>
              <w:ind w:left="105"/>
              <w:jc w:val="both"/>
              <w:rPr>
                <w:i/>
                <w:sz w:val="24"/>
              </w:rPr>
            </w:pPr>
            <w:r w:rsidRPr="00564B42">
              <w:rPr>
                <w:i/>
                <w:sz w:val="24"/>
              </w:rPr>
              <w:t>glabrata</w:t>
            </w:r>
          </w:p>
        </w:tc>
        <w:tc>
          <w:tcPr>
            <w:tcW w:w="989" w:type="dxa"/>
          </w:tcPr>
          <w:p w14:paraId="799A2D5D" w14:textId="77777777" w:rsidR="00540CA9" w:rsidRPr="00564B42" w:rsidRDefault="00540CA9" w:rsidP="00564B42">
            <w:pPr>
              <w:pStyle w:val="TableParagraph"/>
              <w:spacing w:line="267" w:lineRule="exact"/>
              <w:ind w:left="105"/>
              <w:jc w:val="both"/>
              <w:rPr>
                <w:i/>
                <w:sz w:val="24"/>
              </w:rPr>
            </w:pPr>
            <w:r w:rsidRPr="00564B42">
              <w:rPr>
                <w:i/>
                <w:sz w:val="24"/>
              </w:rPr>
              <w:t>Candid</w:t>
            </w:r>
          </w:p>
          <w:p w14:paraId="2ACB4312" w14:textId="77777777" w:rsidR="00540CA9" w:rsidRPr="00564B42" w:rsidRDefault="00540CA9" w:rsidP="00564B42">
            <w:pPr>
              <w:pStyle w:val="TableParagraph"/>
              <w:spacing w:line="264" w:lineRule="exact"/>
              <w:ind w:left="105"/>
              <w:jc w:val="both"/>
              <w:rPr>
                <w:i/>
                <w:sz w:val="24"/>
              </w:rPr>
            </w:pPr>
            <w:r w:rsidRPr="00564B42">
              <w:rPr>
                <w:i/>
                <w:sz w:val="24"/>
              </w:rPr>
              <w:t>a</w:t>
            </w:r>
            <w:r w:rsidRPr="00564B42">
              <w:rPr>
                <w:i/>
                <w:spacing w:val="-4"/>
                <w:sz w:val="24"/>
              </w:rPr>
              <w:t xml:space="preserve"> </w:t>
            </w:r>
            <w:r w:rsidRPr="00564B42">
              <w:rPr>
                <w:i/>
                <w:sz w:val="24"/>
              </w:rPr>
              <w:t>krusei</w:t>
            </w:r>
          </w:p>
        </w:tc>
        <w:tc>
          <w:tcPr>
            <w:tcW w:w="1440" w:type="dxa"/>
          </w:tcPr>
          <w:p w14:paraId="52D8CDCC" w14:textId="77777777" w:rsidR="00540CA9" w:rsidRPr="00564B42" w:rsidRDefault="00540CA9" w:rsidP="00564B42">
            <w:pPr>
              <w:pStyle w:val="TableParagraph"/>
              <w:spacing w:line="267" w:lineRule="exact"/>
              <w:jc w:val="both"/>
              <w:rPr>
                <w:i/>
                <w:sz w:val="24"/>
              </w:rPr>
            </w:pPr>
            <w:r w:rsidRPr="00564B42">
              <w:rPr>
                <w:i/>
                <w:sz w:val="24"/>
              </w:rPr>
              <w:t>Candida</w:t>
            </w:r>
          </w:p>
          <w:p w14:paraId="625BF727" w14:textId="77777777" w:rsidR="00540CA9" w:rsidRPr="00564B42" w:rsidRDefault="00540CA9" w:rsidP="00564B42">
            <w:pPr>
              <w:pStyle w:val="TableParagraph"/>
              <w:spacing w:line="264" w:lineRule="exact"/>
              <w:jc w:val="both"/>
              <w:rPr>
                <w:i/>
                <w:sz w:val="24"/>
              </w:rPr>
            </w:pPr>
            <w:r w:rsidRPr="00564B42">
              <w:rPr>
                <w:i/>
                <w:sz w:val="24"/>
              </w:rPr>
              <w:t>parapsilosis</w:t>
            </w:r>
          </w:p>
        </w:tc>
        <w:tc>
          <w:tcPr>
            <w:tcW w:w="1171" w:type="dxa"/>
          </w:tcPr>
          <w:p w14:paraId="7D259085" w14:textId="77777777" w:rsidR="00540CA9" w:rsidRPr="00564B42" w:rsidRDefault="00540CA9" w:rsidP="00564B42">
            <w:pPr>
              <w:pStyle w:val="TableParagraph"/>
              <w:spacing w:line="267" w:lineRule="exact"/>
              <w:jc w:val="both"/>
              <w:rPr>
                <w:i/>
                <w:sz w:val="24"/>
              </w:rPr>
            </w:pPr>
            <w:r w:rsidRPr="00564B42">
              <w:rPr>
                <w:i/>
                <w:sz w:val="24"/>
              </w:rPr>
              <w:t>Candida</w:t>
            </w:r>
          </w:p>
          <w:p w14:paraId="25263A1A" w14:textId="77777777" w:rsidR="00540CA9" w:rsidRPr="00564B42" w:rsidRDefault="00540CA9" w:rsidP="00564B42">
            <w:pPr>
              <w:pStyle w:val="TableParagraph"/>
              <w:spacing w:line="264" w:lineRule="exact"/>
              <w:jc w:val="both"/>
              <w:rPr>
                <w:i/>
                <w:sz w:val="24"/>
              </w:rPr>
            </w:pPr>
            <w:r w:rsidRPr="00564B42">
              <w:rPr>
                <w:i/>
                <w:sz w:val="24"/>
              </w:rPr>
              <w:t>tropicalis</w:t>
            </w:r>
          </w:p>
        </w:tc>
        <w:tc>
          <w:tcPr>
            <w:tcW w:w="2357" w:type="dxa"/>
          </w:tcPr>
          <w:p w14:paraId="468FAD9E" w14:textId="77777777" w:rsidR="00540CA9" w:rsidRPr="00564B42" w:rsidRDefault="00540CA9" w:rsidP="00564B42">
            <w:pPr>
              <w:pStyle w:val="TableParagraph"/>
              <w:ind w:left="0"/>
              <w:jc w:val="both"/>
              <w:rPr>
                <w:sz w:val="24"/>
              </w:rPr>
            </w:pPr>
          </w:p>
        </w:tc>
      </w:tr>
      <w:tr w:rsidR="00564B42" w:rsidRPr="00564B42" w14:paraId="04AF9532" w14:textId="77777777" w:rsidTr="0083549B">
        <w:trPr>
          <w:trHeight w:val="277"/>
        </w:trPr>
        <w:tc>
          <w:tcPr>
            <w:tcW w:w="1814" w:type="dxa"/>
          </w:tcPr>
          <w:p w14:paraId="71CCE03B" w14:textId="77777777" w:rsidR="00540CA9" w:rsidRPr="00564B42" w:rsidRDefault="00540CA9" w:rsidP="00564B42">
            <w:pPr>
              <w:pStyle w:val="TableParagraph"/>
              <w:spacing w:line="258" w:lineRule="exact"/>
              <w:jc w:val="both"/>
              <w:rPr>
                <w:sz w:val="24"/>
              </w:rPr>
            </w:pPr>
            <w:r w:rsidRPr="00564B42">
              <w:rPr>
                <w:sz w:val="24"/>
              </w:rPr>
              <w:t>Fluconazole</w:t>
            </w:r>
          </w:p>
        </w:tc>
        <w:tc>
          <w:tcPr>
            <w:tcW w:w="1080" w:type="dxa"/>
          </w:tcPr>
          <w:p w14:paraId="5BC33982" w14:textId="77777777" w:rsidR="00540CA9" w:rsidRPr="00564B42" w:rsidRDefault="00540CA9" w:rsidP="00564B42">
            <w:pPr>
              <w:pStyle w:val="TableParagraph"/>
              <w:spacing w:line="258" w:lineRule="exact"/>
              <w:ind w:left="105"/>
              <w:jc w:val="both"/>
              <w:rPr>
                <w:sz w:val="24"/>
              </w:rPr>
            </w:pPr>
            <w:r w:rsidRPr="00564B42">
              <w:rPr>
                <w:sz w:val="24"/>
              </w:rPr>
              <w:t>2/4</w:t>
            </w:r>
          </w:p>
        </w:tc>
        <w:tc>
          <w:tcPr>
            <w:tcW w:w="1080" w:type="dxa"/>
          </w:tcPr>
          <w:p w14:paraId="6B8216A7" w14:textId="77777777" w:rsidR="00540CA9" w:rsidRPr="00564B42" w:rsidRDefault="00540CA9" w:rsidP="00564B42">
            <w:pPr>
              <w:pStyle w:val="TableParagraph"/>
              <w:spacing w:line="258" w:lineRule="exact"/>
              <w:ind w:left="105"/>
              <w:jc w:val="both"/>
              <w:rPr>
                <w:sz w:val="24"/>
              </w:rPr>
            </w:pPr>
            <w:r w:rsidRPr="00564B42">
              <w:rPr>
                <w:sz w:val="24"/>
              </w:rPr>
              <w:t>IE</w:t>
            </w:r>
          </w:p>
        </w:tc>
        <w:tc>
          <w:tcPr>
            <w:tcW w:w="989" w:type="dxa"/>
          </w:tcPr>
          <w:p w14:paraId="78ABEA1E" w14:textId="77777777" w:rsidR="00540CA9" w:rsidRPr="00564B42" w:rsidRDefault="00540CA9" w:rsidP="00564B42">
            <w:pPr>
              <w:pStyle w:val="TableParagraph"/>
              <w:spacing w:line="258" w:lineRule="exact"/>
              <w:ind w:left="105"/>
              <w:jc w:val="both"/>
              <w:rPr>
                <w:sz w:val="24"/>
              </w:rPr>
            </w:pPr>
            <w:r w:rsidRPr="00564B42">
              <w:rPr>
                <w:sz w:val="24"/>
              </w:rPr>
              <w:t>--</w:t>
            </w:r>
          </w:p>
        </w:tc>
        <w:tc>
          <w:tcPr>
            <w:tcW w:w="1440" w:type="dxa"/>
          </w:tcPr>
          <w:p w14:paraId="76417F00" w14:textId="77777777" w:rsidR="00540CA9" w:rsidRPr="00564B42" w:rsidRDefault="00540CA9" w:rsidP="00564B42">
            <w:pPr>
              <w:pStyle w:val="TableParagraph"/>
              <w:spacing w:line="258" w:lineRule="exact"/>
              <w:jc w:val="both"/>
              <w:rPr>
                <w:sz w:val="24"/>
              </w:rPr>
            </w:pPr>
            <w:r w:rsidRPr="00564B42">
              <w:rPr>
                <w:sz w:val="24"/>
              </w:rPr>
              <w:t>2/4</w:t>
            </w:r>
          </w:p>
        </w:tc>
        <w:tc>
          <w:tcPr>
            <w:tcW w:w="1171" w:type="dxa"/>
          </w:tcPr>
          <w:p w14:paraId="49B217D0" w14:textId="77777777" w:rsidR="00540CA9" w:rsidRPr="00564B42" w:rsidRDefault="00540CA9" w:rsidP="00564B42">
            <w:pPr>
              <w:pStyle w:val="TableParagraph"/>
              <w:spacing w:line="258" w:lineRule="exact"/>
              <w:jc w:val="both"/>
              <w:rPr>
                <w:sz w:val="24"/>
              </w:rPr>
            </w:pPr>
            <w:r w:rsidRPr="00564B42">
              <w:rPr>
                <w:sz w:val="24"/>
              </w:rPr>
              <w:t>2/4</w:t>
            </w:r>
          </w:p>
        </w:tc>
        <w:tc>
          <w:tcPr>
            <w:tcW w:w="2357" w:type="dxa"/>
          </w:tcPr>
          <w:p w14:paraId="5048674B" w14:textId="77777777" w:rsidR="00540CA9" w:rsidRPr="00564B42" w:rsidRDefault="00540CA9" w:rsidP="00564B42">
            <w:pPr>
              <w:pStyle w:val="TableParagraph"/>
              <w:spacing w:line="258" w:lineRule="exact"/>
              <w:ind w:left="105"/>
              <w:jc w:val="both"/>
              <w:rPr>
                <w:sz w:val="24"/>
              </w:rPr>
            </w:pPr>
            <w:r w:rsidRPr="00564B42">
              <w:rPr>
                <w:sz w:val="24"/>
              </w:rPr>
              <w:t>2/4</w:t>
            </w:r>
          </w:p>
        </w:tc>
      </w:tr>
    </w:tbl>
    <w:p w14:paraId="46AA2E8D" w14:textId="001A620E" w:rsidR="00540CA9" w:rsidRPr="00564B42" w:rsidRDefault="00540CA9" w:rsidP="00564B42">
      <w:pPr>
        <w:pStyle w:val="NormalWeb"/>
        <w:shd w:val="clear" w:color="auto" w:fill="FFFFFF"/>
        <w:spacing w:before="0" w:beforeAutospacing="0" w:after="0" w:afterAutospacing="0" w:line="276" w:lineRule="auto"/>
        <w:ind w:right="-423"/>
        <w:jc w:val="both"/>
      </w:pPr>
    </w:p>
    <w:p w14:paraId="02A99E49" w14:textId="77777777" w:rsidR="00E66100" w:rsidRPr="00564B42" w:rsidRDefault="00E66100" w:rsidP="00564B42">
      <w:pPr>
        <w:pStyle w:val="NormalWeb"/>
        <w:shd w:val="clear" w:color="auto" w:fill="FFFFFF"/>
        <w:spacing w:before="0" w:beforeAutospacing="0" w:after="0" w:afterAutospacing="0" w:line="276" w:lineRule="auto"/>
        <w:ind w:right="-423"/>
        <w:jc w:val="both"/>
        <w:rPr>
          <w:sz w:val="2"/>
          <w:szCs w:val="2"/>
          <w:u w:val="single"/>
        </w:rPr>
      </w:pPr>
    </w:p>
    <w:p w14:paraId="7D3ED8F2"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5.2 Pharmacokinetic properties</w:t>
      </w:r>
    </w:p>
    <w:p w14:paraId="3E6432CE" w14:textId="77777777" w:rsidR="00540CA9" w:rsidRPr="00564B42" w:rsidRDefault="00540CA9" w:rsidP="00564B42">
      <w:pPr>
        <w:pStyle w:val="BodyText"/>
        <w:spacing w:before="132"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The pharmacokinetic properties of fluconazole are similar following administration by the intravenous or oral route.</w:t>
      </w:r>
    </w:p>
    <w:p w14:paraId="24FDE214" w14:textId="77777777" w:rsidR="00540CA9" w:rsidRPr="00564B42" w:rsidRDefault="00540CA9" w:rsidP="00564B42">
      <w:pPr>
        <w:pStyle w:val="BodyText"/>
        <w:spacing w:before="1"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Absorption: </w:t>
      </w:r>
      <w:r w:rsidRPr="00564B42">
        <w:rPr>
          <w:rFonts w:ascii="Times New Roman" w:hAnsi="Times New Roman" w:cs="Times New Roman"/>
          <w:sz w:val="24"/>
          <w:szCs w:val="24"/>
        </w:rPr>
        <w:t>After oral administration fluconazole is well absorbed, and plasma levels (and systemic bioavailability) are over 90% of the levels achieved after intravenous administration. Oral absorption is not affected by concomitant food intake. Peak plasma concentrations in the fasting state occur between 0.5 and 1.5 hours post-dose. Plasma concentrations are proportional to dose. Ninety percent steady state levels are reached by day 4-5 with multiple once daily dosing. Administration of a loading dose (on day 1) of twice the usual daily dose enables plasma levels to approximate to 90% steady-state levels by day</w:t>
      </w:r>
      <w:r w:rsidRPr="00564B42">
        <w:rPr>
          <w:rFonts w:ascii="Times New Roman" w:hAnsi="Times New Roman" w:cs="Times New Roman"/>
          <w:spacing w:val="-12"/>
          <w:sz w:val="24"/>
          <w:szCs w:val="24"/>
        </w:rPr>
        <w:t xml:space="preserve"> </w:t>
      </w:r>
      <w:r w:rsidRPr="00564B42">
        <w:rPr>
          <w:rFonts w:ascii="Times New Roman" w:hAnsi="Times New Roman" w:cs="Times New Roman"/>
          <w:sz w:val="24"/>
          <w:szCs w:val="24"/>
        </w:rPr>
        <w:t>2.</w:t>
      </w:r>
    </w:p>
    <w:p w14:paraId="3AD6D98E" w14:textId="77777777" w:rsidR="00540CA9" w:rsidRPr="00564B42" w:rsidRDefault="00540CA9" w:rsidP="00564B42">
      <w:pPr>
        <w:pStyle w:val="BodyText"/>
        <w:spacing w:before="1"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Distribution</w:t>
      </w:r>
      <w:r w:rsidRPr="00564B42">
        <w:rPr>
          <w:rFonts w:ascii="Times New Roman" w:hAnsi="Times New Roman" w:cs="Times New Roman"/>
          <w:sz w:val="24"/>
          <w:szCs w:val="24"/>
        </w:rPr>
        <w:t>: The apparent volume of distribution approximates to total body water. Plasma protein binding is low (11-12%).</w:t>
      </w:r>
    </w:p>
    <w:p w14:paraId="5F64F094"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Fluconazole achieves good penetration in all body fluids studied. The levels of fluconazole in saliva and sputum are similar to plasma levels. In patients with fungal meningitis, fluconazole levels in the CSF are approximately 80% the corresponding plasma levels.</w:t>
      </w:r>
    </w:p>
    <w:p w14:paraId="78DE48B9" w14:textId="77777777" w:rsidR="00540CA9" w:rsidRPr="00564B42" w:rsidRDefault="00540CA9" w:rsidP="00564B42">
      <w:pPr>
        <w:pStyle w:val="BodyText"/>
        <w:spacing w:before="90"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High skin concentration of fluconazole, above serum concentrations, are achieved in the stratum corneum, epidermis-dermis and eccrine sweat. Fluconazole accumulates in the stratum corneum. At a dose of 50 mg once daily, the concentration of fluconazole after 12 days was 73 µg/g and 7 days after cessation of treatment the concentration was still 5.8 µg/g. At the 150 mg once-a-week dose, the concentration of fluconazole in stratum corneum on day 7 was 23.4 µg/g and 7 days after the second dose was still 7.1 µg/g.</w:t>
      </w:r>
    </w:p>
    <w:p w14:paraId="0298E23D"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Concentration of fluconazole in nails after 4 months of 150 mg once-a-week dosing was 4.05µg/g in healthy and 1.8 µg/g in diseased nails; and, fluconazole was still measurable in nail samples 6 months after the end of</w:t>
      </w:r>
      <w:r w:rsidRPr="00564B42">
        <w:rPr>
          <w:rFonts w:ascii="Times New Roman" w:hAnsi="Times New Roman" w:cs="Times New Roman"/>
          <w:spacing w:val="-4"/>
          <w:sz w:val="24"/>
          <w:szCs w:val="24"/>
        </w:rPr>
        <w:t xml:space="preserve"> </w:t>
      </w:r>
      <w:r w:rsidRPr="00564B42">
        <w:rPr>
          <w:rFonts w:ascii="Times New Roman" w:hAnsi="Times New Roman" w:cs="Times New Roman"/>
          <w:sz w:val="24"/>
          <w:szCs w:val="24"/>
        </w:rPr>
        <w:t>therapy.</w:t>
      </w:r>
    </w:p>
    <w:p w14:paraId="3E2BE98B"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Biotransformation: </w:t>
      </w:r>
      <w:r w:rsidRPr="00564B42">
        <w:rPr>
          <w:rFonts w:ascii="Times New Roman" w:hAnsi="Times New Roman" w:cs="Times New Roman"/>
          <w:sz w:val="24"/>
          <w:szCs w:val="24"/>
        </w:rPr>
        <w:t>Fluconazole is metabolised only to a minor extent. Of a radioactive dose, only 11% is excreted in a changed form in the urine. Fluconazole is a selective inhibitor of the isozymes CYP2C9 and CYP3A4. Fluconazole is also an inhibitor of the isozyme CYP2C19.</w:t>
      </w:r>
    </w:p>
    <w:p w14:paraId="35AB59DB" w14:textId="77777777" w:rsidR="00540CA9" w:rsidRPr="00564B42" w:rsidRDefault="00540CA9" w:rsidP="00564B42">
      <w:pPr>
        <w:pStyle w:val="BodyText"/>
        <w:spacing w:before="1"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Elimination: </w:t>
      </w:r>
      <w:r w:rsidRPr="00564B42">
        <w:rPr>
          <w:rFonts w:ascii="Times New Roman" w:hAnsi="Times New Roman" w:cs="Times New Roman"/>
          <w:sz w:val="24"/>
          <w:szCs w:val="24"/>
        </w:rPr>
        <w:t>Plasma elimination half-life for fluconazole is approximately 30 hours. The major route of excretion is renal, with approximately 80% of the administered dose appearing in the urine as unchanged medicinal product. Fluconazole clearance is proportional to creatinine clearance. There is no evidence of circulating metabolites.</w:t>
      </w:r>
    </w:p>
    <w:p w14:paraId="09A307AB"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The long plasma elimination half-life provides the basis for single dose therapy for vaginal candidiasis, once daily and once weekly dosing for other indications.</w:t>
      </w:r>
    </w:p>
    <w:p w14:paraId="4E69EE2E"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Pharmacokinetics in renal impairment: </w:t>
      </w:r>
      <w:r w:rsidRPr="00564B42">
        <w:rPr>
          <w:rFonts w:ascii="Times New Roman" w:hAnsi="Times New Roman" w:cs="Times New Roman"/>
          <w:sz w:val="24"/>
          <w:szCs w:val="24"/>
        </w:rPr>
        <w:t>In patients with severe renal insufficiency, (GFR&lt; 20 ml/min) half life increased from 30 to 98 hours. Consequently, reduction of the dose is needed. Fluconazole is removed by haemodialysis and to a lesser extent by peritoneal dialysis. After three hours of haemodialysis session, around 50% of fluconazole is eliminated from</w:t>
      </w:r>
      <w:r w:rsidRPr="00564B42">
        <w:rPr>
          <w:rFonts w:ascii="Times New Roman" w:hAnsi="Times New Roman" w:cs="Times New Roman"/>
          <w:spacing w:val="-10"/>
          <w:sz w:val="24"/>
          <w:szCs w:val="24"/>
        </w:rPr>
        <w:t xml:space="preserve"> </w:t>
      </w:r>
      <w:r w:rsidRPr="00564B42">
        <w:rPr>
          <w:rFonts w:ascii="Times New Roman" w:hAnsi="Times New Roman" w:cs="Times New Roman"/>
          <w:sz w:val="24"/>
          <w:szCs w:val="24"/>
        </w:rPr>
        <w:t>blood.</w:t>
      </w:r>
    </w:p>
    <w:p w14:paraId="50E34A5A"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Pharmacokinetics in children: </w:t>
      </w:r>
      <w:r w:rsidRPr="00564B42">
        <w:rPr>
          <w:rFonts w:ascii="Times New Roman" w:hAnsi="Times New Roman" w:cs="Times New Roman"/>
          <w:sz w:val="24"/>
          <w:szCs w:val="24"/>
        </w:rPr>
        <w:t>Pharmacokinetic data were assessed for 113 paediatric patients from 5 studies; 2 single-dose studies, 2 multiple-dose studies, and a study in premature neonates. Data from one study were not interpretable due to changes in formulation pathway through the study. Additional data were available from a compassionate use study.</w:t>
      </w:r>
    </w:p>
    <w:p w14:paraId="3AA85143"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lastRenderedPageBreak/>
        <w:t>After administration of 2-8 mg/kg fluconazole to children between the ages of 9 months to 15 years, an AUC of about 38 µg·h/ml was found per 1 mg/kg dose units. The average fluconazole plasma elimination half-life varied between 15 and 18 hours and the distribution volume was approximately 880 ml/kg after multiple doses. A higher fluconazole plasma elimination half-life of approximately 24 hours was found after a single dose. This is comparable with the fluconazole plasma elimination half-life after a single administration of 3 mg/kg i.v. to children of 11 days- 11 months old. The distribution volume in this age group was about 950 ml/kg.</w:t>
      </w:r>
    </w:p>
    <w:p w14:paraId="2CEBC131" w14:textId="77777777" w:rsidR="00540CA9" w:rsidRPr="00564B42" w:rsidRDefault="00540CA9" w:rsidP="00564B42">
      <w:pPr>
        <w:pStyle w:val="BodyText"/>
        <w:spacing w:before="90" w:line="24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Experience with fluconazole in neonates is limited to pharmacokinetic studies in premature newborns. The mean age at first dose was 24 hours (range 9-36 hours) and mean birth weight was 0.9 kg (range 0.75-1.10 kg) for 12 pre-term neonates of average gestation around 28 weeks. Seven patients completed the protocol; a maximum of five 6 mg/kg intravenous infusions of fluconazole were administered every 72 hours. The mean half-life (hours) was 74 (range 44-185) on day 1 which decreased, with time to a mean of 53 (range 30-131) on day 7 and 47 (range 27- 68) on day 13. The area under the curve (microgram.h/ml) was 271 (range 173-385) on day 1  and increased with a mean of 490 (range 292-734) on day 7 and decreased with a mean of 360 (range 167-566) on day 13. The volume of distribution (ml/kg) was 1183 (range 1070-1470) on day 1 and increased, with time, to a mean of 1184 (range 510-2130) on day 7 and 1328 (range 1040-1680) on day</w:t>
      </w:r>
      <w:r w:rsidRPr="00564B42">
        <w:rPr>
          <w:rFonts w:ascii="Times New Roman" w:hAnsi="Times New Roman" w:cs="Times New Roman"/>
          <w:spacing w:val="-6"/>
          <w:sz w:val="24"/>
          <w:szCs w:val="24"/>
        </w:rPr>
        <w:t xml:space="preserve"> </w:t>
      </w:r>
      <w:r w:rsidRPr="00564B42">
        <w:rPr>
          <w:rFonts w:ascii="Times New Roman" w:hAnsi="Times New Roman" w:cs="Times New Roman"/>
          <w:sz w:val="24"/>
          <w:szCs w:val="24"/>
        </w:rPr>
        <w:t>13.</w:t>
      </w:r>
    </w:p>
    <w:p w14:paraId="6A77666E" w14:textId="10B696EC" w:rsidR="00E66100" w:rsidRPr="00564B42" w:rsidRDefault="00540CA9" w:rsidP="00564B42">
      <w:pPr>
        <w:pStyle w:val="BodyText"/>
        <w:spacing w:line="240" w:lineRule="auto"/>
        <w:ind w:left="-360" w:right="-333"/>
        <w:jc w:val="both"/>
        <w:rPr>
          <w:rFonts w:ascii="Times New Roman" w:hAnsi="Times New Roman" w:cs="Times New Roman"/>
          <w:sz w:val="24"/>
          <w:szCs w:val="24"/>
        </w:rPr>
      </w:pPr>
      <w:r w:rsidRPr="00564B42">
        <w:rPr>
          <w:rFonts w:ascii="Times New Roman" w:hAnsi="Times New Roman" w:cs="Times New Roman"/>
          <w:b/>
          <w:sz w:val="24"/>
          <w:szCs w:val="24"/>
        </w:rPr>
        <w:t xml:space="preserve">Pharmacokinetics in elderly: </w:t>
      </w:r>
      <w:r w:rsidRPr="00564B42">
        <w:rPr>
          <w:rFonts w:ascii="Times New Roman" w:hAnsi="Times New Roman" w:cs="Times New Roman"/>
          <w:sz w:val="24"/>
          <w:szCs w:val="24"/>
        </w:rPr>
        <w:t xml:space="preserve">A pharmacokinetic study was conducted in 22 subjects, 65 years of age or older receiving a single 50 mg oral dose of fluconazole. Ten of these patients were concomitantly receiving diuretics. The </w:t>
      </w:r>
      <w:r w:rsidRPr="00564B42">
        <w:rPr>
          <w:rFonts w:ascii="Times New Roman" w:hAnsi="Times New Roman" w:cs="Times New Roman"/>
          <w:spacing w:val="3"/>
          <w:sz w:val="24"/>
          <w:szCs w:val="24"/>
        </w:rPr>
        <w:t>C</w:t>
      </w:r>
      <w:r w:rsidRPr="00564B42">
        <w:rPr>
          <w:rFonts w:ascii="Times New Roman" w:hAnsi="Times New Roman" w:cs="Times New Roman"/>
          <w:spacing w:val="3"/>
          <w:sz w:val="24"/>
          <w:szCs w:val="24"/>
          <w:vertAlign w:val="subscript"/>
        </w:rPr>
        <w:t>max</w:t>
      </w:r>
      <w:r w:rsidRPr="00564B42">
        <w:rPr>
          <w:rFonts w:ascii="Times New Roman" w:hAnsi="Times New Roman" w:cs="Times New Roman"/>
          <w:spacing w:val="3"/>
          <w:sz w:val="24"/>
          <w:szCs w:val="24"/>
        </w:rPr>
        <w:t xml:space="preserve"> </w:t>
      </w:r>
      <w:r w:rsidRPr="00564B42">
        <w:rPr>
          <w:rFonts w:ascii="Times New Roman" w:hAnsi="Times New Roman" w:cs="Times New Roman"/>
          <w:sz w:val="24"/>
          <w:szCs w:val="24"/>
        </w:rPr>
        <w:t xml:space="preserve">was 1.54 µg/ml and occurred at 1.3 hours post-dose. The mean AUC was 76.4 ± 20.3 µg·h/ml, and the mean terminal half-life was 46.2 hours. These pharmacokinetic parameter values are higher than analogous values reported for normal young male volunteers. Coadministation of diuretics did not significantly alter AUC or </w:t>
      </w:r>
      <w:r w:rsidRPr="00564B42">
        <w:rPr>
          <w:rFonts w:ascii="Times New Roman" w:hAnsi="Times New Roman" w:cs="Times New Roman"/>
          <w:spacing w:val="4"/>
          <w:sz w:val="24"/>
          <w:szCs w:val="24"/>
        </w:rPr>
        <w:t>C</w:t>
      </w:r>
      <w:r w:rsidRPr="00564B42">
        <w:rPr>
          <w:rFonts w:ascii="Times New Roman" w:hAnsi="Times New Roman" w:cs="Times New Roman"/>
          <w:spacing w:val="4"/>
          <w:sz w:val="24"/>
          <w:szCs w:val="24"/>
          <w:vertAlign w:val="subscript"/>
        </w:rPr>
        <w:t>max</w:t>
      </w:r>
      <w:r w:rsidRPr="00564B42">
        <w:rPr>
          <w:rFonts w:ascii="Times New Roman" w:hAnsi="Times New Roman" w:cs="Times New Roman"/>
          <w:spacing w:val="4"/>
          <w:sz w:val="24"/>
          <w:szCs w:val="24"/>
        </w:rPr>
        <w:t xml:space="preserve">. </w:t>
      </w:r>
      <w:r w:rsidRPr="00564B42">
        <w:rPr>
          <w:rFonts w:ascii="Times New Roman" w:hAnsi="Times New Roman" w:cs="Times New Roman"/>
          <w:spacing w:val="-6"/>
          <w:sz w:val="24"/>
          <w:szCs w:val="24"/>
        </w:rPr>
        <w:t xml:space="preserve">In </w:t>
      </w:r>
      <w:r w:rsidRPr="00564B42">
        <w:rPr>
          <w:rFonts w:ascii="Times New Roman" w:hAnsi="Times New Roman" w:cs="Times New Roman"/>
          <w:sz w:val="24"/>
          <w:szCs w:val="24"/>
        </w:rPr>
        <w:t>addition, creatinine clearance (74 ml/min), the percent of medicinal product recovered unchanged in urine (0-24 h, 22%) and the fluconazole renal clearance estimates (0.124 ml/min/kg) for the elderly were generally lower than those of younger volunteers. Thus, the alteration of fluconazole disposition in the elderly appears to be related to reduced renal function characteristics of this group.</w:t>
      </w:r>
    </w:p>
    <w:p w14:paraId="47C883BF" w14:textId="77777777" w:rsidR="00540CA9" w:rsidRPr="00564B42" w:rsidRDefault="00540CA9" w:rsidP="00564B42">
      <w:pPr>
        <w:pStyle w:val="BodyText"/>
        <w:spacing w:line="240" w:lineRule="auto"/>
        <w:ind w:left="-360" w:right="-333"/>
        <w:jc w:val="both"/>
        <w:rPr>
          <w:rFonts w:ascii="Times New Roman" w:hAnsi="Times New Roman" w:cs="Times New Roman"/>
          <w:sz w:val="24"/>
          <w:szCs w:val="24"/>
        </w:rPr>
      </w:pPr>
    </w:p>
    <w:p w14:paraId="508ACC69" w14:textId="77777777" w:rsidR="00A84306" w:rsidRPr="00564B42" w:rsidRDefault="00A84306"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5.3 Preclinical safety data</w:t>
      </w:r>
    </w:p>
    <w:p w14:paraId="084F3C55" w14:textId="77777777" w:rsidR="00540CA9" w:rsidRPr="00564B42" w:rsidRDefault="00540CA9" w:rsidP="00564B42">
      <w:pPr>
        <w:pStyle w:val="BodyText"/>
        <w:spacing w:before="132" w:line="240" w:lineRule="auto"/>
        <w:ind w:left="-360" w:right="-423"/>
        <w:jc w:val="both"/>
        <w:rPr>
          <w:rFonts w:ascii="Times New Roman" w:hAnsi="Times New Roman" w:cs="Times New Roman"/>
          <w:sz w:val="24"/>
          <w:szCs w:val="24"/>
        </w:rPr>
      </w:pPr>
      <w:r w:rsidRPr="00564B42">
        <w:rPr>
          <w:rFonts w:ascii="Times New Roman" w:hAnsi="Times New Roman" w:cs="Times New Roman"/>
          <w:sz w:val="24"/>
          <w:szCs w:val="24"/>
        </w:rPr>
        <w:t>Effects in non-clinical studies were observed only at exposures considered sufficiently in excess of the human exposure indicating little relevance to clinical use.</w:t>
      </w:r>
    </w:p>
    <w:p w14:paraId="62CA354F" w14:textId="77777777" w:rsidR="00540CA9" w:rsidRPr="00564B42" w:rsidRDefault="00540CA9" w:rsidP="00564B42">
      <w:pPr>
        <w:pStyle w:val="BodyText"/>
        <w:spacing w:line="240" w:lineRule="auto"/>
        <w:ind w:left="-360" w:right="-423"/>
        <w:jc w:val="both"/>
        <w:rPr>
          <w:rFonts w:ascii="Times New Roman" w:hAnsi="Times New Roman" w:cs="Times New Roman"/>
          <w:sz w:val="24"/>
          <w:szCs w:val="24"/>
        </w:rPr>
      </w:pPr>
      <w:r w:rsidRPr="00564B42">
        <w:rPr>
          <w:rFonts w:ascii="Times New Roman" w:hAnsi="Times New Roman" w:cs="Times New Roman"/>
          <w:b/>
          <w:sz w:val="24"/>
          <w:szCs w:val="24"/>
        </w:rPr>
        <w:t>Carcinogenesis</w:t>
      </w:r>
      <w:r w:rsidRPr="00564B42">
        <w:rPr>
          <w:rFonts w:ascii="Times New Roman" w:hAnsi="Times New Roman" w:cs="Times New Roman"/>
          <w:sz w:val="24"/>
          <w:szCs w:val="24"/>
        </w:rPr>
        <w:t>: Fluconazole showed no evidence of carcinogenic potential in mice and rats treated orally for 24 months at doses of 2.5, 5, or 10 mg/kg/day (approximately 2-7 times the recommended human dose). Male rats treated with 5 and 10 mg/kg/day had an increased incidence of hepatocellular adenomas.</w:t>
      </w:r>
    </w:p>
    <w:p w14:paraId="65A8345E" w14:textId="77777777" w:rsidR="00540CA9" w:rsidRPr="00564B42" w:rsidRDefault="00540CA9" w:rsidP="00564B42">
      <w:pPr>
        <w:pStyle w:val="BodyText"/>
        <w:spacing w:before="90" w:line="240" w:lineRule="auto"/>
        <w:ind w:left="-360" w:right="-423"/>
        <w:jc w:val="both"/>
        <w:rPr>
          <w:rFonts w:ascii="Times New Roman" w:hAnsi="Times New Roman" w:cs="Times New Roman"/>
          <w:sz w:val="24"/>
          <w:szCs w:val="24"/>
        </w:rPr>
      </w:pPr>
      <w:r w:rsidRPr="00564B42">
        <w:rPr>
          <w:rFonts w:ascii="Times New Roman" w:hAnsi="Times New Roman" w:cs="Times New Roman"/>
          <w:b/>
          <w:sz w:val="24"/>
          <w:szCs w:val="24"/>
        </w:rPr>
        <w:t xml:space="preserve">Mutagenesis: </w:t>
      </w:r>
      <w:r w:rsidRPr="00564B42">
        <w:rPr>
          <w:rFonts w:ascii="Times New Roman" w:hAnsi="Times New Roman" w:cs="Times New Roman"/>
          <w:sz w:val="24"/>
          <w:szCs w:val="24"/>
        </w:rPr>
        <w:t>Fluconazole, with or without metabolic activation, was negative in tests for mutagenicity in 4 strains of Salmonella typhimurium, and in the mouse lymphoma L5178Y system. Cytogenetic studies in vivo (murine bone marrow cells, following oral administration of fluconazole) and in vitro (human lymphocytes exposed to fluconazole at 1000 μg/ml) showed no evidence of chromosomal mutations.</w:t>
      </w:r>
    </w:p>
    <w:p w14:paraId="00EDD9D6" w14:textId="77777777" w:rsidR="00540CA9" w:rsidRPr="00564B42" w:rsidRDefault="00540CA9" w:rsidP="00564B42">
      <w:pPr>
        <w:pStyle w:val="BodyText"/>
        <w:spacing w:line="240" w:lineRule="auto"/>
        <w:ind w:left="-360" w:right="-423"/>
        <w:jc w:val="both"/>
        <w:rPr>
          <w:rFonts w:ascii="Times New Roman" w:hAnsi="Times New Roman" w:cs="Times New Roman"/>
          <w:sz w:val="24"/>
          <w:szCs w:val="24"/>
        </w:rPr>
      </w:pPr>
      <w:r w:rsidRPr="00564B42">
        <w:rPr>
          <w:rFonts w:ascii="Times New Roman" w:hAnsi="Times New Roman" w:cs="Times New Roman"/>
          <w:b/>
          <w:sz w:val="24"/>
          <w:szCs w:val="24"/>
        </w:rPr>
        <w:t xml:space="preserve">Reproductive toxicity: </w:t>
      </w:r>
      <w:r w:rsidRPr="00564B42">
        <w:rPr>
          <w:rFonts w:ascii="Times New Roman" w:hAnsi="Times New Roman" w:cs="Times New Roman"/>
          <w:sz w:val="24"/>
          <w:szCs w:val="24"/>
        </w:rPr>
        <w:t>Fluconazole did not affect the fertility of male or female rats treated orally with daily doses of 5, 10, or 20 mg/kg or with parenteral doses of 5, 25, or 75 mg/kg.</w:t>
      </w:r>
    </w:p>
    <w:p w14:paraId="3FCA987F" w14:textId="77777777" w:rsidR="00540CA9" w:rsidRPr="00564B42" w:rsidRDefault="00540CA9" w:rsidP="00564B42">
      <w:pPr>
        <w:pStyle w:val="BodyText"/>
        <w:spacing w:line="240" w:lineRule="auto"/>
        <w:ind w:left="-360" w:right="-423"/>
        <w:jc w:val="both"/>
        <w:rPr>
          <w:rFonts w:ascii="Times New Roman" w:hAnsi="Times New Roman" w:cs="Times New Roman"/>
          <w:sz w:val="24"/>
          <w:szCs w:val="24"/>
        </w:rPr>
      </w:pPr>
      <w:r w:rsidRPr="00564B42">
        <w:rPr>
          <w:rFonts w:ascii="Times New Roman" w:hAnsi="Times New Roman" w:cs="Times New Roman"/>
          <w:sz w:val="24"/>
          <w:szCs w:val="24"/>
        </w:rPr>
        <w:lastRenderedPageBreak/>
        <w:t>There were no foetal effects at 5 or 10 mg/kg; increases in foetal anatomical variants (supernumerary ribs, renal pelvis dilation) and delays in ossification were observed at 25 and 50 mg/kg and higher doses. At doses ranging from 80 mg/kg to 320 mg/kg embryolethality in rats was increased and foetal abnormalities included wavy ribs, cleft palate, and abnormal cranio- facial ossification.</w:t>
      </w:r>
    </w:p>
    <w:p w14:paraId="05E048A3" w14:textId="3F7743C7" w:rsidR="00540CA9" w:rsidRPr="00564B42" w:rsidRDefault="00540CA9" w:rsidP="00564B42">
      <w:pPr>
        <w:autoSpaceDE w:val="0"/>
        <w:autoSpaceDN w:val="0"/>
        <w:adjustRightInd w:val="0"/>
        <w:spacing w:after="0" w:line="240" w:lineRule="auto"/>
        <w:ind w:left="-360" w:right="-333"/>
        <w:jc w:val="both"/>
        <w:rPr>
          <w:rFonts w:ascii="Times New Roman" w:hAnsi="Times New Roman" w:cs="Times New Roman"/>
          <w:b/>
          <w:sz w:val="24"/>
          <w:szCs w:val="24"/>
        </w:rPr>
      </w:pPr>
      <w:r w:rsidRPr="00564B42">
        <w:rPr>
          <w:rFonts w:ascii="Times New Roman" w:hAnsi="Times New Roman" w:cs="Times New Roman"/>
          <w:sz w:val="24"/>
          <w:szCs w:val="24"/>
        </w:rPr>
        <w:t>The onset of parturition was slightly delayed at 20 mg/kg orally and dystocia and prolongation of parturition were observed in a few dams at 20 mg/kg and 40 mg/kg intravenously. The disturbances in parturition were reflected by a slight increase in the number of still-born pups and decrease of neonatal survival at these dose levels. These effects on parturition are consistent with the species specific oestrogen-lowering property produced by high doses of fluconazole. Such a hormone change has not been observed in women treated with</w:t>
      </w:r>
      <w:r w:rsidRPr="00564B42">
        <w:rPr>
          <w:rFonts w:ascii="Times New Roman" w:hAnsi="Times New Roman" w:cs="Times New Roman"/>
          <w:spacing w:val="-2"/>
          <w:sz w:val="24"/>
          <w:szCs w:val="24"/>
        </w:rPr>
        <w:t xml:space="preserve"> </w:t>
      </w:r>
      <w:r w:rsidRPr="00564B42">
        <w:rPr>
          <w:rFonts w:ascii="Times New Roman" w:hAnsi="Times New Roman" w:cs="Times New Roman"/>
          <w:sz w:val="24"/>
          <w:szCs w:val="24"/>
        </w:rPr>
        <w:t>fluconazole.</w:t>
      </w:r>
    </w:p>
    <w:p w14:paraId="67503081" w14:textId="2B4C5703" w:rsidR="00037CA8" w:rsidRPr="00564B42" w:rsidRDefault="00037CA8" w:rsidP="00564B42">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0A61C452" w14:textId="77777777" w:rsidR="000E4BA1" w:rsidRPr="00564B42" w:rsidRDefault="000E4BA1" w:rsidP="00564B42">
      <w:pPr>
        <w:autoSpaceDE w:val="0"/>
        <w:autoSpaceDN w:val="0"/>
        <w:adjustRightInd w:val="0"/>
        <w:spacing w:after="0"/>
        <w:ind w:left="-360" w:right="-333"/>
        <w:jc w:val="both"/>
        <w:rPr>
          <w:rFonts w:ascii="Times New Roman" w:hAnsi="Times New Roman" w:cs="Times New Roman"/>
          <w:sz w:val="10"/>
          <w:szCs w:val="10"/>
          <w:highlight w:val="yellow"/>
        </w:rPr>
      </w:pPr>
    </w:p>
    <w:p w14:paraId="70C79EE2"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6. Pharmaceutical particulars</w:t>
      </w:r>
    </w:p>
    <w:p w14:paraId="352744AE"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6.1 List of excipients</w:t>
      </w:r>
    </w:p>
    <w:p w14:paraId="6276FC3E" w14:textId="1C4B65E9" w:rsidR="00B16891" w:rsidRDefault="0083549B" w:rsidP="00564B42">
      <w:pPr>
        <w:autoSpaceDE w:val="0"/>
        <w:autoSpaceDN w:val="0"/>
        <w:adjustRightInd w:val="0"/>
        <w:spacing w:after="0"/>
        <w:ind w:left="-360" w:right="-513"/>
        <w:jc w:val="both"/>
        <w:rPr>
          <w:rFonts w:ascii="Times New Roman" w:hAnsi="Times New Roman" w:cs="Times New Roman"/>
          <w:sz w:val="24"/>
          <w:szCs w:val="24"/>
        </w:rPr>
      </w:pPr>
      <w:r w:rsidRPr="00564B42">
        <w:rPr>
          <w:rFonts w:ascii="Times New Roman" w:hAnsi="Times New Roman" w:cs="Times New Roman"/>
          <w:sz w:val="24"/>
          <w:szCs w:val="24"/>
        </w:rPr>
        <w:t>Microcrystalline cellulose pH 102</w:t>
      </w:r>
      <w:r>
        <w:rPr>
          <w:rFonts w:ascii="Times New Roman" w:hAnsi="Times New Roman" w:cs="Times New Roman"/>
          <w:sz w:val="24"/>
          <w:szCs w:val="24"/>
        </w:rPr>
        <w:t>,</w:t>
      </w:r>
      <w:r w:rsidRPr="0083549B">
        <w:rPr>
          <w:rFonts w:ascii="Times New Roman" w:hAnsi="Times New Roman" w:cs="Times New Roman"/>
          <w:sz w:val="24"/>
          <w:szCs w:val="24"/>
        </w:rPr>
        <w:t xml:space="preserve"> </w:t>
      </w:r>
      <w:r w:rsidRPr="00564B42">
        <w:rPr>
          <w:rFonts w:ascii="Times New Roman" w:hAnsi="Times New Roman" w:cs="Times New Roman"/>
          <w:sz w:val="24"/>
          <w:szCs w:val="24"/>
        </w:rPr>
        <w:t>Magnesium Stearate</w:t>
      </w:r>
      <w:r>
        <w:rPr>
          <w:rFonts w:ascii="Times New Roman" w:hAnsi="Times New Roman" w:cs="Times New Roman"/>
          <w:sz w:val="24"/>
          <w:szCs w:val="24"/>
        </w:rPr>
        <w:t xml:space="preserve">, </w:t>
      </w:r>
      <w:r w:rsidRPr="00564B42">
        <w:rPr>
          <w:rFonts w:ascii="Times New Roman" w:hAnsi="Times New Roman" w:cs="Times New Roman"/>
          <w:sz w:val="24"/>
          <w:szCs w:val="24"/>
        </w:rPr>
        <w:t>Talc</w:t>
      </w:r>
      <w:r>
        <w:rPr>
          <w:rFonts w:ascii="Times New Roman" w:hAnsi="Times New Roman" w:cs="Times New Roman"/>
          <w:sz w:val="24"/>
          <w:szCs w:val="24"/>
        </w:rPr>
        <w:t>,</w:t>
      </w:r>
      <w:r w:rsidRPr="0083549B">
        <w:rPr>
          <w:rFonts w:ascii="Times New Roman" w:hAnsi="Times New Roman" w:cs="Times New Roman"/>
          <w:sz w:val="24"/>
          <w:szCs w:val="24"/>
        </w:rPr>
        <w:t xml:space="preserve"> </w:t>
      </w:r>
      <w:r w:rsidRPr="00564B42">
        <w:rPr>
          <w:rFonts w:ascii="Times New Roman" w:hAnsi="Times New Roman" w:cs="Times New Roman"/>
          <w:sz w:val="24"/>
          <w:szCs w:val="24"/>
        </w:rPr>
        <w:t>Sodium lauryl</w:t>
      </w:r>
      <w:r w:rsidR="002613F1">
        <w:rPr>
          <w:rFonts w:ascii="Times New Roman" w:hAnsi="Times New Roman" w:cs="Times New Roman"/>
          <w:sz w:val="24"/>
          <w:szCs w:val="24"/>
        </w:rPr>
        <w:t xml:space="preserve"> </w:t>
      </w:r>
      <w:r w:rsidRPr="00564B42">
        <w:rPr>
          <w:rFonts w:ascii="Times New Roman" w:hAnsi="Times New Roman" w:cs="Times New Roman"/>
          <w:sz w:val="24"/>
          <w:szCs w:val="24"/>
        </w:rPr>
        <w:t>sulphate</w:t>
      </w:r>
      <w:r>
        <w:rPr>
          <w:rFonts w:ascii="Times New Roman" w:hAnsi="Times New Roman" w:cs="Times New Roman"/>
          <w:sz w:val="24"/>
          <w:szCs w:val="24"/>
        </w:rPr>
        <w:t xml:space="preserve">, </w:t>
      </w:r>
      <w:r w:rsidRPr="00564B42">
        <w:rPr>
          <w:rFonts w:ascii="Times New Roman" w:hAnsi="Times New Roman" w:cs="Times New Roman"/>
          <w:sz w:val="24"/>
          <w:szCs w:val="24"/>
        </w:rPr>
        <w:t>Croscarmellose Sodium</w:t>
      </w:r>
      <w:r>
        <w:rPr>
          <w:rFonts w:ascii="Times New Roman" w:hAnsi="Times New Roman" w:cs="Times New Roman"/>
          <w:sz w:val="24"/>
          <w:szCs w:val="24"/>
        </w:rPr>
        <w:t xml:space="preserve">,  </w:t>
      </w:r>
    </w:p>
    <w:p w14:paraId="314A4D6B" w14:textId="09B7B28A" w:rsidR="00B35A7C" w:rsidRPr="00564B42" w:rsidRDefault="00B35A7C" w:rsidP="00564B42">
      <w:pPr>
        <w:autoSpaceDE w:val="0"/>
        <w:autoSpaceDN w:val="0"/>
        <w:adjustRightInd w:val="0"/>
        <w:spacing w:after="0"/>
        <w:ind w:left="-360" w:right="-513"/>
        <w:jc w:val="both"/>
        <w:rPr>
          <w:rFonts w:ascii="Times New Roman" w:hAnsi="Times New Roman" w:cs="Times New Roman"/>
          <w:sz w:val="6"/>
          <w:szCs w:val="6"/>
        </w:rPr>
      </w:pPr>
    </w:p>
    <w:p w14:paraId="42FBE0FA" w14:textId="77777777" w:rsidR="00B0194C" w:rsidRPr="00564B42" w:rsidRDefault="00B0194C" w:rsidP="00564B42">
      <w:pPr>
        <w:autoSpaceDE w:val="0"/>
        <w:autoSpaceDN w:val="0"/>
        <w:adjustRightInd w:val="0"/>
        <w:spacing w:after="0"/>
        <w:ind w:left="-360" w:right="-333"/>
        <w:jc w:val="both"/>
        <w:rPr>
          <w:rFonts w:ascii="Times New Roman" w:hAnsi="Times New Roman" w:cs="Times New Roman"/>
          <w:b/>
          <w:sz w:val="14"/>
          <w:szCs w:val="14"/>
          <w:highlight w:val="yellow"/>
        </w:rPr>
      </w:pPr>
    </w:p>
    <w:p w14:paraId="0A88CD1A"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6.2 Incompatibilities</w:t>
      </w:r>
    </w:p>
    <w:p w14:paraId="3D312002" w14:textId="4997E5F1" w:rsidR="00037CA8" w:rsidRPr="00564B42" w:rsidRDefault="00540CA9"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Incompatible with alkaline solutions</w:t>
      </w:r>
      <w:r w:rsidR="00B35A7C" w:rsidRPr="00564B42">
        <w:rPr>
          <w:rFonts w:ascii="Times New Roman" w:hAnsi="Times New Roman" w:cs="Times New Roman"/>
          <w:sz w:val="24"/>
          <w:szCs w:val="24"/>
        </w:rPr>
        <w:t>.</w:t>
      </w:r>
    </w:p>
    <w:p w14:paraId="20A5C418" w14:textId="77777777" w:rsidR="003547DA" w:rsidRPr="00564B42" w:rsidRDefault="003547DA" w:rsidP="00564B42">
      <w:pPr>
        <w:autoSpaceDE w:val="0"/>
        <w:autoSpaceDN w:val="0"/>
        <w:adjustRightInd w:val="0"/>
        <w:spacing w:after="0"/>
        <w:ind w:left="-360" w:right="-333"/>
        <w:jc w:val="both"/>
        <w:rPr>
          <w:rFonts w:ascii="Times New Roman" w:hAnsi="Times New Roman" w:cs="Times New Roman"/>
          <w:sz w:val="12"/>
          <w:szCs w:val="12"/>
          <w:highlight w:val="yellow"/>
        </w:rPr>
      </w:pPr>
    </w:p>
    <w:p w14:paraId="12609E9E"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6.3 Shelf life</w:t>
      </w:r>
    </w:p>
    <w:p w14:paraId="1FB1DB55" w14:textId="77777777" w:rsidR="003547DA" w:rsidRPr="00564B42" w:rsidRDefault="0074479D"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 xml:space="preserve">36 Months </w:t>
      </w:r>
    </w:p>
    <w:p w14:paraId="05380DBF" w14:textId="77777777" w:rsidR="00037CA8" w:rsidRPr="00564B42" w:rsidRDefault="00037CA8" w:rsidP="00564B42">
      <w:pPr>
        <w:autoSpaceDE w:val="0"/>
        <w:autoSpaceDN w:val="0"/>
        <w:adjustRightInd w:val="0"/>
        <w:spacing w:after="0"/>
        <w:ind w:left="-360" w:right="-333"/>
        <w:jc w:val="both"/>
        <w:rPr>
          <w:rFonts w:ascii="Times New Roman" w:hAnsi="Times New Roman" w:cs="Times New Roman"/>
          <w:sz w:val="12"/>
          <w:szCs w:val="12"/>
        </w:rPr>
      </w:pPr>
    </w:p>
    <w:p w14:paraId="5273FEE6"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6.4 Special precautions for storage</w:t>
      </w:r>
    </w:p>
    <w:p w14:paraId="4706A555" w14:textId="3CF4CA0B" w:rsidR="00B35A7C" w:rsidRPr="00564B42" w:rsidRDefault="00540CA9" w:rsidP="00564B42">
      <w:pPr>
        <w:autoSpaceDE w:val="0"/>
        <w:autoSpaceDN w:val="0"/>
        <w:adjustRightInd w:val="0"/>
        <w:spacing w:after="0" w:line="360" w:lineRule="auto"/>
        <w:ind w:left="-360" w:right="-333"/>
        <w:jc w:val="both"/>
        <w:rPr>
          <w:rFonts w:ascii="Times New Roman" w:hAnsi="Times New Roman" w:cs="Times New Roman"/>
          <w:sz w:val="24"/>
          <w:szCs w:val="24"/>
        </w:rPr>
      </w:pPr>
      <w:r w:rsidRPr="00564B42">
        <w:rPr>
          <w:rFonts w:ascii="Times New Roman" w:hAnsi="Times New Roman" w:cs="Times New Roman"/>
          <w:sz w:val="24"/>
          <w:szCs w:val="24"/>
        </w:rPr>
        <w:t>Protect from light. Store in a cool &amp; dry place below30°C</w:t>
      </w:r>
      <w:r w:rsidR="00242AAE" w:rsidRPr="00564B42">
        <w:rPr>
          <w:rFonts w:ascii="Times New Roman" w:hAnsi="Times New Roman" w:cs="Times New Roman"/>
          <w:sz w:val="24"/>
          <w:szCs w:val="24"/>
        </w:rPr>
        <w:t>.</w:t>
      </w:r>
      <w:r w:rsidR="00B35A7C" w:rsidRPr="00564B42">
        <w:rPr>
          <w:rFonts w:ascii="Times New Roman" w:hAnsi="Times New Roman" w:cs="Times New Roman"/>
          <w:sz w:val="24"/>
          <w:szCs w:val="24"/>
        </w:rPr>
        <w:t xml:space="preserve"> </w:t>
      </w:r>
    </w:p>
    <w:p w14:paraId="1C99370B" w14:textId="77777777" w:rsidR="00EF75B2" w:rsidRPr="00564B42" w:rsidRDefault="00EF75B2" w:rsidP="00564B42">
      <w:pPr>
        <w:autoSpaceDE w:val="0"/>
        <w:autoSpaceDN w:val="0"/>
        <w:adjustRightInd w:val="0"/>
        <w:spacing w:after="0"/>
        <w:ind w:left="-360" w:right="-333"/>
        <w:jc w:val="both"/>
        <w:rPr>
          <w:rFonts w:ascii="Times New Roman" w:hAnsi="Times New Roman" w:cs="Times New Roman"/>
          <w:b/>
          <w:sz w:val="6"/>
          <w:szCs w:val="6"/>
        </w:rPr>
      </w:pPr>
    </w:p>
    <w:p w14:paraId="044AEBD8" w14:textId="7448816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6.5 Nature and contents of container</w:t>
      </w:r>
    </w:p>
    <w:p w14:paraId="49465E49" w14:textId="6421777B" w:rsidR="00594BC0" w:rsidRPr="00564B42" w:rsidRDefault="00540CA9"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10 strips of 10 tablets in a mono carton along with leaflet.</w:t>
      </w:r>
    </w:p>
    <w:p w14:paraId="2B9C05CA" w14:textId="77777777" w:rsidR="00037CA8" w:rsidRPr="00564B42" w:rsidRDefault="00037CA8" w:rsidP="00564B42">
      <w:pPr>
        <w:autoSpaceDE w:val="0"/>
        <w:autoSpaceDN w:val="0"/>
        <w:adjustRightInd w:val="0"/>
        <w:spacing w:after="0"/>
        <w:ind w:left="-360" w:right="-333"/>
        <w:jc w:val="both"/>
        <w:rPr>
          <w:rFonts w:ascii="Times New Roman" w:hAnsi="Times New Roman" w:cs="Times New Roman"/>
          <w:sz w:val="4"/>
          <w:szCs w:val="4"/>
          <w:highlight w:val="yellow"/>
        </w:rPr>
      </w:pPr>
    </w:p>
    <w:p w14:paraId="1B96E61C" w14:textId="77777777" w:rsidR="00B7586C" w:rsidRPr="00564B42" w:rsidRDefault="00B7586C"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6.6 Special precautions for disposal and other handling</w:t>
      </w:r>
    </w:p>
    <w:p w14:paraId="07067DD7" w14:textId="77777777" w:rsidR="000605E8" w:rsidRPr="00564B42" w:rsidRDefault="00B35A7C"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No Special precautions for disposal and other handling.</w:t>
      </w:r>
    </w:p>
    <w:p w14:paraId="1F166764" w14:textId="77777777" w:rsidR="00242AAE" w:rsidRPr="00564B42" w:rsidRDefault="00242AAE" w:rsidP="00564B42">
      <w:pPr>
        <w:autoSpaceDE w:val="0"/>
        <w:autoSpaceDN w:val="0"/>
        <w:adjustRightInd w:val="0"/>
        <w:spacing w:after="0"/>
        <w:ind w:left="-360" w:right="-333"/>
        <w:jc w:val="both"/>
        <w:rPr>
          <w:rFonts w:ascii="Times New Roman" w:hAnsi="Times New Roman" w:cs="Times New Roman"/>
          <w:b/>
          <w:sz w:val="8"/>
          <w:szCs w:val="8"/>
          <w:highlight w:val="yellow"/>
        </w:rPr>
      </w:pPr>
    </w:p>
    <w:p w14:paraId="39892957" w14:textId="0575B5F5" w:rsidR="00B7586C" w:rsidRPr="00564B42" w:rsidRDefault="00540CA9"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7. Manufacturer:</w:t>
      </w:r>
    </w:p>
    <w:p w14:paraId="5E03C96B" w14:textId="77777777" w:rsidR="003649D2" w:rsidRPr="00564B42" w:rsidRDefault="003649D2" w:rsidP="00564B42">
      <w:pPr>
        <w:autoSpaceDE w:val="0"/>
        <w:autoSpaceDN w:val="0"/>
        <w:adjustRightInd w:val="0"/>
        <w:spacing w:after="0"/>
        <w:ind w:left="-360" w:right="-333"/>
        <w:jc w:val="both"/>
        <w:rPr>
          <w:rFonts w:ascii="Times New Roman" w:hAnsi="Times New Roman" w:cs="Times New Roman"/>
          <w:b/>
          <w:i/>
          <w:sz w:val="24"/>
          <w:szCs w:val="24"/>
        </w:rPr>
      </w:pPr>
      <w:r w:rsidRPr="00564B42">
        <w:rPr>
          <w:rFonts w:ascii="Times New Roman" w:hAnsi="Times New Roman" w:cs="Times New Roman"/>
          <w:b/>
          <w:i/>
          <w:sz w:val="24"/>
          <w:szCs w:val="24"/>
        </w:rPr>
        <w:t>Scott-Edil Pharmacia Limited,</w:t>
      </w:r>
    </w:p>
    <w:p w14:paraId="5252ED67" w14:textId="77777777" w:rsidR="003649D2" w:rsidRPr="00564B42" w:rsidRDefault="003649D2"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56, EPIP, Phase-I, Jharmajri,</w:t>
      </w:r>
    </w:p>
    <w:p w14:paraId="526A78F6" w14:textId="77777777" w:rsidR="003649D2" w:rsidRPr="00564B42" w:rsidRDefault="003649D2"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Baddi, Distt. Solan- 173205 (H.P)</w:t>
      </w:r>
    </w:p>
    <w:p w14:paraId="59AF4876" w14:textId="77777777" w:rsidR="003649D2" w:rsidRPr="00564B42" w:rsidRDefault="003649D2"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INDIA</w:t>
      </w:r>
    </w:p>
    <w:p w14:paraId="0FD23C1E" w14:textId="77777777" w:rsidR="00540CA9" w:rsidRPr="00564B42" w:rsidRDefault="00540CA9" w:rsidP="00564B42">
      <w:pPr>
        <w:autoSpaceDE w:val="0"/>
        <w:autoSpaceDN w:val="0"/>
        <w:adjustRightInd w:val="0"/>
        <w:spacing w:after="0"/>
        <w:ind w:left="-360" w:right="-333"/>
        <w:jc w:val="both"/>
        <w:rPr>
          <w:rFonts w:ascii="Times New Roman" w:hAnsi="Times New Roman" w:cs="Times New Roman"/>
          <w:sz w:val="24"/>
          <w:szCs w:val="24"/>
        </w:rPr>
      </w:pPr>
    </w:p>
    <w:p w14:paraId="0ABDA455" w14:textId="7AFA9CDB" w:rsidR="00B7586C" w:rsidRPr="00564B42" w:rsidRDefault="00606772" w:rsidP="00564B42">
      <w:pPr>
        <w:autoSpaceDE w:val="0"/>
        <w:autoSpaceDN w:val="0"/>
        <w:adjustRightInd w:val="0"/>
        <w:spacing w:after="0"/>
        <w:ind w:left="-360" w:right="-333"/>
        <w:jc w:val="both"/>
        <w:rPr>
          <w:rFonts w:ascii="Times New Roman" w:hAnsi="Times New Roman" w:cs="Times New Roman"/>
          <w:b/>
          <w:sz w:val="24"/>
          <w:szCs w:val="24"/>
        </w:rPr>
      </w:pPr>
      <w:r w:rsidRPr="00564B42">
        <w:rPr>
          <w:rFonts w:ascii="Times New Roman" w:hAnsi="Times New Roman" w:cs="Times New Roman"/>
          <w:b/>
          <w:sz w:val="24"/>
          <w:szCs w:val="24"/>
        </w:rPr>
        <w:t xml:space="preserve">8. </w:t>
      </w:r>
      <w:r w:rsidR="00564B42" w:rsidRPr="00564B42">
        <w:rPr>
          <w:rFonts w:ascii="Times New Roman" w:hAnsi="Times New Roman" w:cs="Times New Roman"/>
          <w:b/>
          <w:sz w:val="24"/>
          <w:szCs w:val="24"/>
        </w:rPr>
        <w:t>Marketing Authorization Holder</w:t>
      </w:r>
    </w:p>
    <w:p w14:paraId="177E82B1" w14:textId="77777777" w:rsidR="00564B42" w:rsidRPr="00564B42" w:rsidRDefault="00564B42"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ESKAY NEZ INDUSTRIES LTD.</w:t>
      </w:r>
    </w:p>
    <w:p w14:paraId="6B686F81" w14:textId="77777777" w:rsidR="00564B42" w:rsidRPr="00564B42" w:rsidRDefault="00564B42"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114C Awka road, Onitsha,</w:t>
      </w:r>
    </w:p>
    <w:p w14:paraId="7EC9E087" w14:textId="208A9257" w:rsidR="00E32AA8" w:rsidRPr="00564B42" w:rsidRDefault="00564B42" w:rsidP="00564B42">
      <w:pPr>
        <w:autoSpaceDE w:val="0"/>
        <w:autoSpaceDN w:val="0"/>
        <w:adjustRightInd w:val="0"/>
        <w:spacing w:after="0"/>
        <w:ind w:left="-360" w:right="-333"/>
        <w:jc w:val="both"/>
        <w:rPr>
          <w:rFonts w:ascii="Times New Roman" w:hAnsi="Times New Roman" w:cs="Times New Roman"/>
          <w:sz w:val="24"/>
          <w:szCs w:val="24"/>
        </w:rPr>
      </w:pPr>
      <w:r w:rsidRPr="00564B42">
        <w:rPr>
          <w:rFonts w:ascii="Times New Roman" w:hAnsi="Times New Roman" w:cs="Times New Roman"/>
          <w:sz w:val="24"/>
          <w:szCs w:val="24"/>
        </w:rPr>
        <w:t>Anambra State Nigeria,</w:t>
      </w:r>
    </w:p>
    <w:p w14:paraId="7F1CCB6C" w14:textId="77777777" w:rsidR="00564B42" w:rsidRPr="00564B42" w:rsidRDefault="00564B42" w:rsidP="00564B42">
      <w:pPr>
        <w:autoSpaceDE w:val="0"/>
        <w:autoSpaceDN w:val="0"/>
        <w:adjustRightInd w:val="0"/>
        <w:spacing w:after="0"/>
        <w:ind w:left="-360" w:right="-333"/>
        <w:rPr>
          <w:rFonts w:ascii="Times New Roman" w:hAnsi="Times New Roman" w:cs="Times New Roman"/>
          <w:sz w:val="16"/>
          <w:szCs w:val="16"/>
        </w:rPr>
      </w:pPr>
    </w:p>
    <w:p w14:paraId="1C136E54" w14:textId="77777777" w:rsidR="00B7586C" w:rsidRPr="00564B42" w:rsidRDefault="00B7586C" w:rsidP="00C839BE">
      <w:pPr>
        <w:autoSpaceDE w:val="0"/>
        <w:autoSpaceDN w:val="0"/>
        <w:adjustRightInd w:val="0"/>
        <w:spacing w:after="0"/>
        <w:ind w:left="-360" w:right="-333"/>
        <w:rPr>
          <w:rFonts w:ascii="Times New Roman" w:hAnsi="Times New Roman" w:cs="Times New Roman"/>
          <w:b/>
          <w:sz w:val="24"/>
          <w:szCs w:val="24"/>
        </w:rPr>
      </w:pPr>
      <w:r w:rsidRPr="00564B42">
        <w:rPr>
          <w:rFonts w:ascii="Times New Roman" w:hAnsi="Times New Roman" w:cs="Times New Roman"/>
          <w:b/>
          <w:sz w:val="24"/>
          <w:szCs w:val="24"/>
        </w:rPr>
        <w:t>9.</w:t>
      </w:r>
      <w:r w:rsidR="00A84306" w:rsidRPr="00564B42">
        <w:rPr>
          <w:rFonts w:ascii="Times New Roman" w:hAnsi="Times New Roman" w:cs="Times New Roman"/>
          <w:b/>
          <w:sz w:val="24"/>
          <w:szCs w:val="24"/>
        </w:rPr>
        <w:t xml:space="preserve"> </w:t>
      </w:r>
      <w:r w:rsidRPr="00564B42">
        <w:rPr>
          <w:rFonts w:ascii="Times New Roman" w:hAnsi="Times New Roman" w:cs="Times New Roman"/>
          <w:b/>
          <w:sz w:val="24"/>
          <w:szCs w:val="24"/>
        </w:rPr>
        <w:t>Date of revision of the text</w:t>
      </w:r>
    </w:p>
    <w:p w14:paraId="307C4B9B" w14:textId="1EDEB2C6" w:rsidR="00606772" w:rsidRPr="00564B42" w:rsidRDefault="008F6367" w:rsidP="00C839BE">
      <w:pPr>
        <w:autoSpaceDE w:val="0"/>
        <w:autoSpaceDN w:val="0"/>
        <w:adjustRightInd w:val="0"/>
        <w:spacing w:after="0"/>
        <w:ind w:left="-360" w:right="-333"/>
        <w:rPr>
          <w:rFonts w:ascii="Times New Roman" w:hAnsi="Times New Roman" w:cs="Times New Roman"/>
          <w:sz w:val="24"/>
          <w:szCs w:val="24"/>
        </w:rPr>
      </w:pPr>
      <w:r w:rsidRPr="00564B42">
        <w:rPr>
          <w:rFonts w:ascii="Times New Roman" w:hAnsi="Times New Roman" w:cs="Times New Roman"/>
          <w:sz w:val="24"/>
          <w:szCs w:val="24"/>
        </w:rPr>
        <w:t>October</w:t>
      </w:r>
      <w:r w:rsidR="00407CE7" w:rsidRPr="00564B42">
        <w:rPr>
          <w:rFonts w:ascii="Times New Roman" w:hAnsi="Times New Roman" w:cs="Times New Roman"/>
          <w:sz w:val="24"/>
          <w:szCs w:val="24"/>
        </w:rPr>
        <w:t xml:space="preserve"> 20</w:t>
      </w:r>
      <w:r w:rsidR="00564B42" w:rsidRPr="00564B42">
        <w:rPr>
          <w:rFonts w:ascii="Times New Roman" w:hAnsi="Times New Roman" w:cs="Times New Roman"/>
          <w:sz w:val="24"/>
          <w:szCs w:val="24"/>
        </w:rPr>
        <w:t>20</w:t>
      </w:r>
    </w:p>
    <w:p w14:paraId="1BC56E5C" w14:textId="77777777" w:rsidR="00A84306" w:rsidRPr="00564B42" w:rsidRDefault="00A84306" w:rsidP="00C839BE">
      <w:pPr>
        <w:pStyle w:val="NormalWeb"/>
        <w:spacing w:before="0" w:beforeAutospacing="0" w:after="0" w:afterAutospacing="0" w:line="276" w:lineRule="auto"/>
        <w:ind w:left="-360" w:right="-333"/>
        <w:jc w:val="both"/>
        <w:rPr>
          <w:b/>
        </w:rPr>
      </w:pPr>
      <w:bookmarkStart w:id="0" w:name="_GoBack"/>
      <w:bookmarkEnd w:id="0"/>
      <w:r w:rsidRPr="00564B42">
        <w:rPr>
          <w:b/>
        </w:rPr>
        <w:lastRenderedPageBreak/>
        <w:t>10. DOSIMETRY (IF APPLICABLE)</w:t>
      </w:r>
    </w:p>
    <w:p w14:paraId="00277AFE" w14:textId="77777777" w:rsidR="00A84306" w:rsidRPr="00564B42" w:rsidRDefault="00A84306" w:rsidP="00C839BE">
      <w:pPr>
        <w:autoSpaceDE w:val="0"/>
        <w:autoSpaceDN w:val="0"/>
        <w:adjustRightInd w:val="0"/>
        <w:spacing w:after="0"/>
        <w:ind w:left="-360" w:right="-333"/>
        <w:rPr>
          <w:rFonts w:ascii="Times New Roman" w:hAnsi="Times New Roman" w:cs="Times New Roman"/>
          <w:sz w:val="24"/>
          <w:szCs w:val="24"/>
        </w:rPr>
      </w:pPr>
      <w:r w:rsidRPr="00564B42">
        <w:rPr>
          <w:rFonts w:ascii="Times New Roman" w:hAnsi="Times New Roman" w:cs="Times New Roman"/>
          <w:sz w:val="24"/>
          <w:szCs w:val="24"/>
        </w:rPr>
        <w:t>Not applicable</w:t>
      </w:r>
    </w:p>
    <w:p w14:paraId="05A62543" w14:textId="77777777" w:rsidR="0051621B" w:rsidRPr="00564B42" w:rsidRDefault="0051621B" w:rsidP="00C839BE">
      <w:pPr>
        <w:autoSpaceDE w:val="0"/>
        <w:autoSpaceDN w:val="0"/>
        <w:adjustRightInd w:val="0"/>
        <w:spacing w:after="0"/>
        <w:ind w:left="-360" w:right="-333"/>
        <w:rPr>
          <w:rFonts w:ascii="Times New Roman" w:hAnsi="Times New Roman" w:cs="Times New Roman"/>
          <w:sz w:val="24"/>
          <w:szCs w:val="24"/>
        </w:rPr>
      </w:pPr>
    </w:p>
    <w:p w14:paraId="51F03DA7" w14:textId="2C7C1A85" w:rsidR="00FC1464" w:rsidRPr="00564B42" w:rsidRDefault="00A84306" w:rsidP="00EF75B2">
      <w:pPr>
        <w:pStyle w:val="NormalWeb"/>
        <w:tabs>
          <w:tab w:val="left" w:pos="0"/>
        </w:tabs>
        <w:spacing w:before="0" w:beforeAutospacing="0" w:after="0" w:afterAutospacing="0" w:line="276" w:lineRule="auto"/>
        <w:ind w:left="-360" w:right="-693"/>
        <w:rPr>
          <w:b/>
        </w:rPr>
      </w:pPr>
      <w:r w:rsidRPr="00564B42">
        <w:rPr>
          <w:b/>
        </w:rPr>
        <w:t>11.</w:t>
      </w:r>
      <w:r w:rsidR="00EF75B2" w:rsidRPr="00564B42">
        <w:t xml:space="preserve"> </w:t>
      </w:r>
      <w:r w:rsidR="00FC1464" w:rsidRPr="00564B42">
        <w:rPr>
          <w:b/>
        </w:rPr>
        <w:t xml:space="preserve">INSTRUCTIONS FOR PREPARATION OF RADIOPHARMACEUTICALS (IF APPLICABLE) </w:t>
      </w:r>
    </w:p>
    <w:p w14:paraId="087A0E5E" w14:textId="77777777" w:rsidR="00A84306" w:rsidRPr="00564B42" w:rsidRDefault="00FC1464" w:rsidP="00C839BE">
      <w:pPr>
        <w:autoSpaceDE w:val="0"/>
        <w:autoSpaceDN w:val="0"/>
        <w:adjustRightInd w:val="0"/>
        <w:spacing w:after="0"/>
        <w:ind w:left="-360" w:right="-333"/>
        <w:rPr>
          <w:rFonts w:ascii="Times New Roman" w:hAnsi="Times New Roman" w:cs="Times New Roman"/>
          <w:b/>
          <w:sz w:val="24"/>
          <w:szCs w:val="24"/>
        </w:rPr>
      </w:pPr>
      <w:r w:rsidRPr="00564B42">
        <w:rPr>
          <w:rFonts w:ascii="Times New Roman" w:hAnsi="Times New Roman" w:cs="Times New Roman"/>
        </w:rPr>
        <w:t>Not Applicable</w:t>
      </w:r>
    </w:p>
    <w:sectPr w:rsidR="00A84306" w:rsidRPr="00564B42" w:rsidSect="00257398">
      <w:headerReference w:type="default" r:id="rId8"/>
      <w:footerReference w:type="default" r:id="rId9"/>
      <w:pgSz w:w="11907" w:h="16839" w:code="9"/>
      <w:pgMar w:top="1440" w:right="1440" w:bottom="1440" w:left="1440" w:header="720" w:footer="720" w:gutter="0"/>
      <w:pgBorders w:offsetFrom="page">
        <w:top w:val="threeDEmboss" w:sz="24" w:space="24" w:color="auto"/>
        <w:left w:val="threeDEmboss" w:sz="24" w:space="31" w:color="auto"/>
        <w:bottom w:val="threeDEngrave" w:sz="24" w:space="24" w:color="auto"/>
        <w:right w:val="threeDEngrave" w:sz="2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0A4C" w14:textId="77777777" w:rsidR="00BD3390" w:rsidRDefault="00BD3390" w:rsidP="00257398">
      <w:pPr>
        <w:spacing w:after="0" w:line="240" w:lineRule="auto"/>
      </w:pPr>
      <w:r>
        <w:separator/>
      </w:r>
    </w:p>
  </w:endnote>
  <w:endnote w:type="continuationSeparator" w:id="0">
    <w:p w14:paraId="516AB645" w14:textId="77777777" w:rsidR="00BD3390" w:rsidRDefault="00BD3390" w:rsidP="0025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0AD7" w14:textId="786C212C" w:rsidR="00BB20DE" w:rsidRPr="006E772C" w:rsidRDefault="00BB20DE" w:rsidP="00257398">
    <w:pPr>
      <w:pStyle w:val="Header"/>
      <w:ind w:left="-90"/>
      <w:jc w:val="center"/>
      <w:rPr>
        <w:rFonts w:ascii="Times New Roman" w:hAnsi="Times New Roman" w:cs="Times New Roman"/>
        <w:b/>
        <w:bCs/>
        <w:sz w:val="24"/>
        <w:szCs w:val="24"/>
      </w:rPr>
    </w:pPr>
    <w:r w:rsidRPr="006E772C">
      <w:rPr>
        <w:rFonts w:ascii="Times New Roman" w:hAnsi="Times New Roman" w:cs="Times New Roman"/>
        <w:b/>
        <w:bCs/>
        <w:sz w:val="24"/>
        <w:szCs w:val="24"/>
      </w:rPr>
      <w:t>Fluconazole Capsules 200 mg</w:t>
    </w:r>
  </w:p>
  <w:p w14:paraId="66BFA6AE" w14:textId="77777777" w:rsidR="00BB20DE" w:rsidRPr="00257398" w:rsidRDefault="00BB20DE" w:rsidP="00257398">
    <w:pPr>
      <w:pStyle w:val="Header"/>
      <w:jc w:val="center"/>
      <w:rPr>
        <w:rFonts w:ascii="Times New Roman" w:hAnsi="Times New Roman" w:cs="Times New Roman"/>
        <w:b/>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189A" w14:textId="77777777" w:rsidR="00BD3390" w:rsidRDefault="00BD3390" w:rsidP="00257398">
      <w:pPr>
        <w:spacing w:after="0" w:line="240" w:lineRule="auto"/>
      </w:pPr>
      <w:r>
        <w:separator/>
      </w:r>
    </w:p>
  </w:footnote>
  <w:footnote w:type="continuationSeparator" w:id="0">
    <w:p w14:paraId="78CAAFEA" w14:textId="77777777" w:rsidR="00BD3390" w:rsidRDefault="00BD3390" w:rsidP="0025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5" w:type="dxa"/>
      <w:tblInd w:w="-459" w:type="dxa"/>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1067"/>
      <w:gridCol w:w="9088"/>
    </w:tblGrid>
    <w:tr w:rsidR="00BB20DE" w:rsidRPr="004A24C7" w14:paraId="08D61194" w14:textId="77777777" w:rsidTr="00E23323">
      <w:trPr>
        <w:trHeight w:val="1287"/>
      </w:trPr>
      <w:tc>
        <w:tcPr>
          <w:tcW w:w="1067" w:type="dxa"/>
        </w:tcPr>
        <w:p w14:paraId="2A2E8241" w14:textId="2D3837A9" w:rsidR="00BB20DE" w:rsidRPr="004A24C7" w:rsidRDefault="00BB20DE" w:rsidP="00BB20DE">
          <w:pPr>
            <w:autoSpaceDE w:val="0"/>
            <w:autoSpaceDN w:val="0"/>
            <w:adjustRightInd w:val="0"/>
            <w:jc w:val="center"/>
            <w:rPr>
              <w:rFonts w:ascii="Bookman Old Style" w:hAnsi="Bookman Old Style" w:cs="Arial"/>
              <w:b/>
              <w:sz w:val="16"/>
            </w:rPr>
          </w:pPr>
          <w:r>
            <w:rPr>
              <w:noProof/>
            </w:rPr>
            <w:drawing>
              <wp:inline distT="0" distB="0" distL="0" distR="0" wp14:anchorId="5DF13A2D" wp14:editId="07ED1480">
                <wp:extent cx="540385" cy="704850"/>
                <wp:effectExtent l="0" t="0" r="0" b="0"/>
                <wp:docPr id="1" name="Picture 1" descr="cid:image001.jpg@01D4E1A6.3B7DA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E1A6.3B7DAD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704850"/>
                        </a:xfrm>
                        <a:prstGeom prst="rect">
                          <a:avLst/>
                        </a:prstGeom>
                        <a:noFill/>
                        <a:ln>
                          <a:noFill/>
                        </a:ln>
                      </pic:spPr>
                    </pic:pic>
                  </a:graphicData>
                </a:graphic>
              </wp:inline>
            </w:drawing>
          </w:r>
        </w:p>
      </w:tc>
      <w:tc>
        <w:tcPr>
          <w:tcW w:w="9088" w:type="dxa"/>
        </w:tcPr>
        <w:p w14:paraId="5547B953" w14:textId="77777777" w:rsidR="00BB20DE" w:rsidRPr="00CF7213" w:rsidRDefault="00BB20DE" w:rsidP="00BB20DE">
          <w:pPr>
            <w:rPr>
              <w:rFonts w:ascii="Bookman Old Style" w:eastAsia="Batang" w:hAnsi="Bookman Old Style"/>
              <w:b/>
              <w:sz w:val="2"/>
              <w:szCs w:val="26"/>
            </w:rPr>
          </w:pPr>
        </w:p>
        <w:p w14:paraId="3B9D8A75" w14:textId="77777777" w:rsidR="00BB20DE" w:rsidRPr="00CF7213" w:rsidRDefault="00BB20DE" w:rsidP="00BB20DE">
          <w:pPr>
            <w:rPr>
              <w:rFonts w:ascii="Bookman Old Style" w:eastAsia="Batang" w:hAnsi="Bookman Old Style"/>
              <w:b/>
              <w:sz w:val="26"/>
              <w:szCs w:val="26"/>
            </w:rPr>
          </w:pPr>
          <w:r w:rsidRPr="00CF7213">
            <w:rPr>
              <w:rFonts w:ascii="Bookman Old Style" w:eastAsia="Batang" w:hAnsi="Bookman Old Style"/>
              <w:b/>
              <w:sz w:val="36"/>
              <w:szCs w:val="36"/>
            </w:rPr>
            <w:t>SCOTT-EDIL PHARMACIA LTD</w:t>
          </w:r>
          <w:r w:rsidRPr="00CF7213">
            <w:rPr>
              <w:rFonts w:ascii="Bookman Old Style" w:eastAsia="Batang" w:hAnsi="Bookman Old Style"/>
              <w:b/>
              <w:sz w:val="26"/>
              <w:szCs w:val="26"/>
            </w:rPr>
            <w:t>.</w:t>
          </w:r>
        </w:p>
        <w:p w14:paraId="25D57429" w14:textId="77777777" w:rsidR="00BB20DE" w:rsidRPr="00CF7213" w:rsidRDefault="00BB20DE" w:rsidP="00BB20DE">
          <w:pPr>
            <w:autoSpaceDE w:val="0"/>
            <w:autoSpaceDN w:val="0"/>
            <w:adjustRightInd w:val="0"/>
            <w:spacing w:line="240" w:lineRule="auto"/>
            <w:rPr>
              <w:rFonts w:ascii="Bookman Old Style" w:hAnsi="Bookman Old Style" w:cs="Arial"/>
              <w:b/>
              <w:sz w:val="28"/>
              <w:szCs w:val="28"/>
            </w:rPr>
          </w:pPr>
          <w:r w:rsidRPr="00CF7213">
            <w:rPr>
              <w:rFonts w:ascii="Bookman Old Style" w:eastAsia="Times New Roman" w:hAnsi="Bookman Old Style" w:cs="Arial"/>
              <w:b/>
              <w:sz w:val="28"/>
              <w:szCs w:val="28"/>
            </w:rPr>
            <w:t>56,EPIP,Phase-I,Jharmajri,Baddi-173 205, (HP), India</w:t>
          </w:r>
        </w:p>
      </w:tc>
    </w:tr>
  </w:tbl>
  <w:p w14:paraId="176D1596" w14:textId="77777777" w:rsidR="00BB20DE" w:rsidRPr="0001607D" w:rsidRDefault="00BB20DE" w:rsidP="00D2761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6DE"/>
    <w:multiLevelType w:val="hybridMultilevel"/>
    <w:tmpl w:val="813A0EDC"/>
    <w:lvl w:ilvl="0" w:tplc="60342ADA">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2AD3243"/>
    <w:multiLevelType w:val="hybridMultilevel"/>
    <w:tmpl w:val="8D12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F3A75"/>
    <w:multiLevelType w:val="hybridMultilevel"/>
    <w:tmpl w:val="C324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41A03"/>
    <w:multiLevelType w:val="hybridMultilevel"/>
    <w:tmpl w:val="2C96044A"/>
    <w:lvl w:ilvl="0" w:tplc="60342AD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100F7"/>
    <w:multiLevelType w:val="hybridMultilevel"/>
    <w:tmpl w:val="EF2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2665E"/>
    <w:multiLevelType w:val="hybridMultilevel"/>
    <w:tmpl w:val="01EC1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371AE"/>
    <w:multiLevelType w:val="hybridMultilevel"/>
    <w:tmpl w:val="D0E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C63AD"/>
    <w:multiLevelType w:val="hybridMultilevel"/>
    <w:tmpl w:val="6B96FC4C"/>
    <w:lvl w:ilvl="0" w:tplc="8F986204">
      <w:numFmt w:val="bullet"/>
      <w:lvlText w:val="-"/>
      <w:lvlJc w:val="left"/>
      <w:pPr>
        <w:ind w:left="240" w:hanging="135"/>
      </w:pPr>
      <w:rPr>
        <w:rFonts w:ascii="Times New Roman" w:eastAsia="Times New Roman" w:hAnsi="Times New Roman" w:cs="Times New Roman" w:hint="default"/>
        <w:i/>
        <w:w w:val="100"/>
        <w:sz w:val="23"/>
        <w:szCs w:val="23"/>
      </w:rPr>
    </w:lvl>
    <w:lvl w:ilvl="1" w:tplc="B778F596">
      <w:numFmt w:val="bullet"/>
      <w:lvlText w:val="•"/>
      <w:lvlJc w:val="left"/>
      <w:pPr>
        <w:ind w:left="475" w:hanging="135"/>
      </w:pPr>
      <w:rPr>
        <w:rFonts w:hint="default"/>
      </w:rPr>
    </w:lvl>
    <w:lvl w:ilvl="2" w:tplc="379A5CFA">
      <w:numFmt w:val="bullet"/>
      <w:lvlText w:val="•"/>
      <w:lvlJc w:val="left"/>
      <w:pPr>
        <w:ind w:left="711" w:hanging="135"/>
      </w:pPr>
      <w:rPr>
        <w:rFonts w:hint="default"/>
      </w:rPr>
    </w:lvl>
    <w:lvl w:ilvl="3" w:tplc="61F0C9EC">
      <w:numFmt w:val="bullet"/>
      <w:lvlText w:val="•"/>
      <w:lvlJc w:val="left"/>
      <w:pPr>
        <w:ind w:left="947" w:hanging="135"/>
      </w:pPr>
      <w:rPr>
        <w:rFonts w:hint="default"/>
      </w:rPr>
    </w:lvl>
    <w:lvl w:ilvl="4" w:tplc="E08051E8">
      <w:numFmt w:val="bullet"/>
      <w:lvlText w:val="•"/>
      <w:lvlJc w:val="left"/>
      <w:pPr>
        <w:ind w:left="1183" w:hanging="135"/>
      </w:pPr>
      <w:rPr>
        <w:rFonts w:hint="default"/>
      </w:rPr>
    </w:lvl>
    <w:lvl w:ilvl="5" w:tplc="C7963E76">
      <w:numFmt w:val="bullet"/>
      <w:lvlText w:val="•"/>
      <w:lvlJc w:val="left"/>
      <w:pPr>
        <w:ind w:left="1419" w:hanging="135"/>
      </w:pPr>
      <w:rPr>
        <w:rFonts w:hint="default"/>
      </w:rPr>
    </w:lvl>
    <w:lvl w:ilvl="6" w:tplc="C732684E">
      <w:numFmt w:val="bullet"/>
      <w:lvlText w:val="•"/>
      <w:lvlJc w:val="left"/>
      <w:pPr>
        <w:ind w:left="1655" w:hanging="135"/>
      </w:pPr>
      <w:rPr>
        <w:rFonts w:hint="default"/>
      </w:rPr>
    </w:lvl>
    <w:lvl w:ilvl="7" w:tplc="DE666A58">
      <w:numFmt w:val="bullet"/>
      <w:lvlText w:val="•"/>
      <w:lvlJc w:val="left"/>
      <w:pPr>
        <w:ind w:left="1891" w:hanging="135"/>
      </w:pPr>
      <w:rPr>
        <w:rFonts w:hint="default"/>
      </w:rPr>
    </w:lvl>
    <w:lvl w:ilvl="8" w:tplc="1B90A61C">
      <w:numFmt w:val="bullet"/>
      <w:lvlText w:val="•"/>
      <w:lvlJc w:val="left"/>
      <w:pPr>
        <w:ind w:left="2127" w:hanging="135"/>
      </w:pPr>
      <w:rPr>
        <w:rFonts w:hint="default"/>
      </w:rPr>
    </w:lvl>
  </w:abstractNum>
  <w:abstractNum w:abstractNumId="8" w15:restartNumberingAfterBreak="0">
    <w:nsid w:val="620F30CB"/>
    <w:multiLevelType w:val="hybridMultilevel"/>
    <w:tmpl w:val="3C7CE1F8"/>
    <w:lvl w:ilvl="0" w:tplc="A9802788">
      <w:numFmt w:val="bullet"/>
      <w:lvlText w:val="-"/>
      <w:lvlJc w:val="left"/>
      <w:pPr>
        <w:ind w:left="249" w:hanging="142"/>
      </w:pPr>
      <w:rPr>
        <w:rFonts w:ascii="Times New Roman" w:eastAsia="Times New Roman" w:hAnsi="Times New Roman" w:cs="Times New Roman" w:hint="default"/>
        <w:w w:val="99"/>
        <w:sz w:val="24"/>
        <w:szCs w:val="24"/>
      </w:rPr>
    </w:lvl>
    <w:lvl w:ilvl="1" w:tplc="16EA5DD6">
      <w:numFmt w:val="bullet"/>
      <w:lvlText w:val="•"/>
      <w:lvlJc w:val="left"/>
      <w:pPr>
        <w:ind w:left="534" w:hanging="142"/>
      </w:pPr>
      <w:rPr>
        <w:rFonts w:hint="default"/>
      </w:rPr>
    </w:lvl>
    <w:lvl w:ilvl="2" w:tplc="72E64820">
      <w:numFmt w:val="bullet"/>
      <w:lvlText w:val="•"/>
      <w:lvlJc w:val="left"/>
      <w:pPr>
        <w:ind w:left="828" w:hanging="142"/>
      </w:pPr>
      <w:rPr>
        <w:rFonts w:hint="default"/>
      </w:rPr>
    </w:lvl>
    <w:lvl w:ilvl="3" w:tplc="8444BAC8">
      <w:numFmt w:val="bullet"/>
      <w:lvlText w:val="•"/>
      <w:lvlJc w:val="left"/>
      <w:pPr>
        <w:ind w:left="1122" w:hanging="142"/>
      </w:pPr>
      <w:rPr>
        <w:rFonts w:hint="default"/>
      </w:rPr>
    </w:lvl>
    <w:lvl w:ilvl="4" w:tplc="221C1464">
      <w:numFmt w:val="bullet"/>
      <w:lvlText w:val="•"/>
      <w:lvlJc w:val="left"/>
      <w:pPr>
        <w:ind w:left="1416" w:hanging="142"/>
      </w:pPr>
      <w:rPr>
        <w:rFonts w:hint="default"/>
      </w:rPr>
    </w:lvl>
    <w:lvl w:ilvl="5" w:tplc="8A989046">
      <w:numFmt w:val="bullet"/>
      <w:lvlText w:val="•"/>
      <w:lvlJc w:val="left"/>
      <w:pPr>
        <w:ind w:left="1711" w:hanging="142"/>
      </w:pPr>
      <w:rPr>
        <w:rFonts w:hint="default"/>
      </w:rPr>
    </w:lvl>
    <w:lvl w:ilvl="6" w:tplc="5BFA16AC">
      <w:numFmt w:val="bullet"/>
      <w:lvlText w:val="•"/>
      <w:lvlJc w:val="left"/>
      <w:pPr>
        <w:ind w:left="2005" w:hanging="142"/>
      </w:pPr>
      <w:rPr>
        <w:rFonts w:hint="default"/>
      </w:rPr>
    </w:lvl>
    <w:lvl w:ilvl="7" w:tplc="0A304AC4">
      <w:numFmt w:val="bullet"/>
      <w:lvlText w:val="•"/>
      <w:lvlJc w:val="left"/>
      <w:pPr>
        <w:ind w:left="2299" w:hanging="142"/>
      </w:pPr>
      <w:rPr>
        <w:rFonts w:hint="default"/>
      </w:rPr>
    </w:lvl>
    <w:lvl w:ilvl="8" w:tplc="AD9A9A72">
      <w:numFmt w:val="bullet"/>
      <w:lvlText w:val="•"/>
      <w:lvlJc w:val="left"/>
      <w:pPr>
        <w:ind w:left="2593" w:hanging="142"/>
      </w:pPr>
      <w:rPr>
        <w:rFonts w:hint="default"/>
      </w:rPr>
    </w:lvl>
  </w:abstractNum>
  <w:abstractNum w:abstractNumId="9" w15:restartNumberingAfterBreak="0">
    <w:nsid w:val="642363E3"/>
    <w:multiLevelType w:val="hybridMultilevel"/>
    <w:tmpl w:val="727EE36A"/>
    <w:lvl w:ilvl="0" w:tplc="60342ADA">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8C813DB"/>
    <w:multiLevelType w:val="hybridMultilevel"/>
    <w:tmpl w:val="FDB23BD4"/>
    <w:lvl w:ilvl="0" w:tplc="60342AD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FE46F0"/>
    <w:multiLevelType w:val="hybridMultilevel"/>
    <w:tmpl w:val="2BE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30458"/>
    <w:multiLevelType w:val="multilevel"/>
    <w:tmpl w:val="DAD848F6"/>
    <w:lvl w:ilvl="0">
      <w:start w:val="1"/>
      <w:numFmt w:val="decimal"/>
      <w:lvlText w:val="%1."/>
      <w:lvlJc w:val="left"/>
      <w:pPr>
        <w:ind w:left="1080" w:hanging="240"/>
      </w:pPr>
      <w:rPr>
        <w:rFonts w:ascii="Times New Roman" w:eastAsia="Times New Roman" w:hAnsi="Times New Roman" w:cs="Times New Roman" w:hint="default"/>
        <w:b/>
        <w:bCs/>
        <w:w w:val="100"/>
        <w:sz w:val="24"/>
        <w:szCs w:val="24"/>
      </w:rPr>
    </w:lvl>
    <w:lvl w:ilvl="1">
      <w:start w:val="1"/>
      <w:numFmt w:val="decimal"/>
      <w:lvlText w:val="%1.%2"/>
      <w:lvlJc w:val="left"/>
      <w:pPr>
        <w:ind w:left="1200" w:hanging="360"/>
        <w:jc w:val="right"/>
      </w:pPr>
      <w:rPr>
        <w:rFonts w:ascii="Times New Roman" w:eastAsia="Times New Roman" w:hAnsi="Times New Roman" w:cs="Times New Roman" w:hint="default"/>
        <w:b/>
        <w:bCs/>
        <w:w w:val="100"/>
        <w:sz w:val="24"/>
        <w:szCs w:val="24"/>
      </w:rPr>
    </w:lvl>
    <w:lvl w:ilvl="2">
      <w:numFmt w:val="bullet"/>
      <w:lvlText w:val=""/>
      <w:lvlJc w:val="left"/>
      <w:pPr>
        <w:ind w:left="1560" w:hanging="360"/>
      </w:pPr>
      <w:rPr>
        <w:rFonts w:ascii="Wingdings" w:eastAsia="Wingdings" w:hAnsi="Wingdings" w:cs="Wingdings" w:hint="default"/>
        <w:w w:val="100"/>
        <w:sz w:val="24"/>
        <w:szCs w:val="24"/>
      </w:rPr>
    </w:lvl>
    <w:lvl w:ilvl="3">
      <w:numFmt w:val="bullet"/>
      <w:lvlText w:val="•"/>
      <w:lvlJc w:val="left"/>
      <w:pPr>
        <w:ind w:left="2745" w:hanging="360"/>
      </w:pPr>
      <w:rPr>
        <w:rFonts w:hint="default"/>
      </w:rPr>
    </w:lvl>
    <w:lvl w:ilvl="4">
      <w:numFmt w:val="bullet"/>
      <w:lvlText w:val="•"/>
      <w:lvlJc w:val="left"/>
      <w:pPr>
        <w:ind w:left="3930" w:hanging="360"/>
      </w:pPr>
      <w:rPr>
        <w:rFonts w:hint="default"/>
      </w:rPr>
    </w:lvl>
    <w:lvl w:ilvl="5">
      <w:numFmt w:val="bullet"/>
      <w:lvlText w:val="•"/>
      <w:lvlJc w:val="left"/>
      <w:pPr>
        <w:ind w:left="5115" w:hanging="360"/>
      </w:pPr>
      <w:rPr>
        <w:rFonts w:hint="default"/>
      </w:rPr>
    </w:lvl>
    <w:lvl w:ilvl="6">
      <w:numFmt w:val="bullet"/>
      <w:lvlText w:val="•"/>
      <w:lvlJc w:val="left"/>
      <w:pPr>
        <w:ind w:left="6300" w:hanging="360"/>
      </w:pPr>
      <w:rPr>
        <w:rFonts w:hint="default"/>
      </w:rPr>
    </w:lvl>
    <w:lvl w:ilvl="7">
      <w:numFmt w:val="bullet"/>
      <w:lvlText w:val="•"/>
      <w:lvlJc w:val="left"/>
      <w:pPr>
        <w:ind w:left="7485" w:hanging="360"/>
      </w:pPr>
      <w:rPr>
        <w:rFonts w:hint="default"/>
      </w:rPr>
    </w:lvl>
    <w:lvl w:ilvl="8">
      <w:numFmt w:val="bullet"/>
      <w:lvlText w:val="•"/>
      <w:lvlJc w:val="left"/>
      <w:pPr>
        <w:ind w:left="8670" w:hanging="360"/>
      </w:pPr>
      <w:rPr>
        <w:rFonts w:hint="default"/>
      </w:rPr>
    </w:lvl>
  </w:abstractNum>
  <w:num w:numId="1">
    <w:abstractNumId w:val="6"/>
  </w:num>
  <w:num w:numId="2">
    <w:abstractNumId w:val="1"/>
  </w:num>
  <w:num w:numId="3">
    <w:abstractNumId w:val="11"/>
  </w:num>
  <w:num w:numId="4">
    <w:abstractNumId w:val="4"/>
  </w:num>
  <w:num w:numId="5">
    <w:abstractNumId w:val="7"/>
  </w:num>
  <w:num w:numId="6">
    <w:abstractNumId w:val="8"/>
  </w:num>
  <w:num w:numId="7">
    <w:abstractNumId w:val="12"/>
  </w:num>
  <w:num w:numId="8">
    <w:abstractNumId w:val="2"/>
  </w:num>
  <w:num w:numId="9">
    <w:abstractNumId w:val="9"/>
  </w:num>
  <w:num w:numId="10">
    <w:abstractNumId w:val="10"/>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7398"/>
    <w:rsid w:val="00015CE7"/>
    <w:rsid w:val="0001607D"/>
    <w:rsid w:val="00024B32"/>
    <w:rsid w:val="00037CA8"/>
    <w:rsid w:val="0004094B"/>
    <w:rsid w:val="0004285D"/>
    <w:rsid w:val="00054B0A"/>
    <w:rsid w:val="000605E8"/>
    <w:rsid w:val="00092578"/>
    <w:rsid w:val="000B2063"/>
    <w:rsid w:val="000E4BA1"/>
    <w:rsid w:val="000E5E8E"/>
    <w:rsid w:val="000F1CCF"/>
    <w:rsid w:val="000F2BC1"/>
    <w:rsid w:val="000F3099"/>
    <w:rsid w:val="00100EE4"/>
    <w:rsid w:val="0011049B"/>
    <w:rsid w:val="00113C4D"/>
    <w:rsid w:val="001227E1"/>
    <w:rsid w:val="00132EAF"/>
    <w:rsid w:val="001430A9"/>
    <w:rsid w:val="00144441"/>
    <w:rsid w:val="001512D8"/>
    <w:rsid w:val="00155C7E"/>
    <w:rsid w:val="001726CE"/>
    <w:rsid w:val="00172FF4"/>
    <w:rsid w:val="00180A71"/>
    <w:rsid w:val="0018418D"/>
    <w:rsid w:val="00187678"/>
    <w:rsid w:val="001937F8"/>
    <w:rsid w:val="001B4DB5"/>
    <w:rsid w:val="001D0B45"/>
    <w:rsid w:val="001D0D46"/>
    <w:rsid w:val="001D2F21"/>
    <w:rsid w:val="001D782C"/>
    <w:rsid w:val="001E07C6"/>
    <w:rsid w:val="001E4399"/>
    <w:rsid w:val="001F2E56"/>
    <w:rsid w:val="001F6D63"/>
    <w:rsid w:val="00200CE4"/>
    <w:rsid w:val="00224A2E"/>
    <w:rsid w:val="00224D9D"/>
    <w:rsid w:val="00230782"/>
    <w:rsid w:val="00242AAE"/>
    <w:rsid w:val="00257398"/>
    <w:rsid w:val="002613F1"/>
    <w:rsid w:val="00273ACF"/>
    <w:rsid w:val="00275B44"/>
    <w:rsid w:val="0028220C"/>
    <w:rsid w:val="00290EB4"/>
    <w:rsid w:val="002A10CD"/>
    <w:rsid w:val="002B66F8"/>
    <w:rsid w:val="002C0CA9"/>
    <w:rsid w:val="002D058D"/>
    <w:rsid w:val="002D27B7"/>
    <w:rsid w:val="002D7DFE"/>
    <w:rsid w:val="002F2C8E"/>
    <w:rsid w:val="003141F8"/>
    <w:rsid w:val="00320DE0"/>
    <w:rsid w:val="003403E0"/>
    <w:rsid w:val="003547DA"/>
    <w:rsid w:val="003557DA"/>
    <w:rsid w:val="003649D2"/>
    <w:rsid w:val="00372CAE"/>
    <w:rsid w:val="00384776"/>
    <w:rsid w:val="003A4BB7"/>
    <w:rsid w:val="003A5295"/>
    <w:rsid w:val="003C07F7"/>
    <w:rsid w:val="003C7FCC"/>
    <w:rsid w:val="003D217B"/>
    <w:rsid w:val="003D22B6"/>
    <w:rsid w:val="003E5241"/>
    <w:rsid w:val="003E7911"/>
    <w:rsid w:val="003F1FBF"/>
    <w:rsid w:val="0040016A"/>
    <w:rsid w:val="00400523"/>
    <w:rsid w:val="00407CE7"/>
    <w:rsid w:val="00432C01"/>
    <w:rsid w:val="00434EE9"/>
    <w:rsid w:val="004378E9"/>
    <w:rsid w:val="00457E98"/>
    <w:rsid w:val="00473D92"/>
    <w:rsid w:val="004833FA"/>
    <w:rsid w:val="00492250"/>
    <w:rsid w:val="004972B1"/>
    <w:rsid w:val="004B0382"/>
    <w:rsid w:val="004B1005"/>
    <w:rsid w:val="004C65EE"/>
    <w:rsid w:val="004D0735"/>
    <w:rsid w:val="004D5D1C"/>
    <w:rsid w:val="004E5883"/>
    <w:rsid w:val="004F143F"/>
    <w:rsid w:val="005057C8"/>
    <w:rsid w:val="005136AE"/>
    <w:rsid w:val="0051621B"/>
    <w:rsid w:val="00525682"/>
    <w:rsid w:val="005338F7"/>
    <w:rsid w:val="00540CA9"/>
    <w:rsid w:val="00540D1D"/>
    <w:rsid w:val="0054277D"/>
    <w:rsid w:val="005457AB"/>
    <w:rsid w:val="005465D6"/>
    <w:rsid w:val="00550B05"/>
    <w:rsid w:val="00552758"/>
    <w:rsid w:val="005623E0"/>
    <w:rsid w:val="00564B42"/>
    <w:rsid w:val="0057361B"/>
    <w:rsid w:val="005771BA"/>
    <w:rsid w:val="00582841"/>
    <w:rsid w:val="00585BC1"/>
    <w:rsid w:val="005944C0"/>
    <w:rsid w:val="00594BC0"/>
    <w:rsid w:val="005A0724"/>
    <w:rsid w:val="005B10DC"/>
    <w:rsid w:val="005C5148"/>
    <w:rsid w:val="005F68EB"/>
    <w:rsid w:val="006058C2"/>
    <w:rsid w:val="00606772"/>
    <w:rsid w:val="006164A6"/>
    <w:rsid w:val="00621D77"/>
    <w:rsid w:val="00640B6B"/>
    <w:rsid w:val="006446B9"/>
    <w:rsid w:val="00672E2B"/>
    <w:rsid w:val="006B1F2C"/>
    <w:rsid w:val="006B24A6"/>
    <w:rsid w:val="006C4788"/>
    <w:rsid w:val="006E3FD8"/>
    <w:rsid w:val="006E76C1"/>
    <w:rsid w:val="006E772C"/>
    <w:rsid w:val="00701C16"/>
    <w:rsid w:val="00701D91"/>
    <w:rsid w:val="007020AB"/>
    <w:rsid w:val="00713528"/>
    <w:rsid w:val="007240B2"/>
    <w:rsid w:val="0074479D"/>
    <w:rsid w:val="00746CEE"/>
    <w:rsid w:val="00762633"/>
    <w:rsid w:val="00777610"/>
    <w:rsid w:val="00785EEC"/>
    <w:rsid w:val="00794569"/>
    <w:rsid w:val="00796576"/>
    <w:rsid w:val="007A070C"/>
    <w:rsid w:val="007B48A6"/>
    <w:rsid w:val="007B7164"/>
    <w:rsid w:val="007C4601"/>
    <w:rsid w:val="007D5AC1"/>
    <w:rsid w:val="007F2079"/>
    <w:rsid w:val="007F3D5F"/>
    <w:rsid w:val="008131B7"/>
    <w:rsid w:val="0081648C"/>
    <w:rsid w:val="0083549B"/>
    <w:rsid w:val="00857ADF"/>
    <w:rsid w:val="0087071C"/>
    <w:rsid w:val="0087281E"/>
    <w:rsid w:val="008823A1"/>
    <w:rsid w:val="00895D18"/>
    <w:rsid w:val="008A5E6D"/>
    <w:rsid w:val="008C0E8F"/>
    <w:rsid w:val="008D6D59"/>
    <w:rsid w:val="008F6367"/>
    <w:rsid w:val="008F6AED"/>
    <w:rsid w:val="00906255"/>
    <w:rsid w:val="00913D22"/>
    <w:rsid w:val="00922D79"/>
    <w:rsid w:val="009240C6"/>
    <w:rsid w:val="00924DAD"/>
    <w:rsid w:val="0093133B"/>
    <w:rsid w:val="0093136C"/>
    <w:rsid w:val="00937304"/>
    <w:rsid w:val="00940EE0"/>
    <w:rsid w:val="0094397D"/>
    <w:rsid w:val="00954506"/>
    <w:rsid w:val="00955B41"/>
    <w:rsid w:val="00955FB0"/>
    <w:rsid w:val="009569C4"/>
    <w:rsid w:val="00961D22"/>
    <w:rsid w:val="00975029"/>
    <w:rsid w:val="009755FA"/>
    <w:rsid w:val="00980A4A"/>
    <w:rsid w:val="009B1EC2"/>
    <w:rsid w:val="009D3415"/>
    <w:rsid w:val="009F3054"/>
    <w:rsid w:val="009F6088"/>
    <w:rsid w:val="00A105A8"/>
    <w:rsid w:val="00A11FB8"/>
    <w:rsid w:val="00A149D1"/>
    <w:rsid w:val="00A249C8"/>
    <w:rsid w:val="00A25201"/>
    <w:rsid w:val="00A57880"/>
    <w:rsid w:val="00A638B8"/>
    <w:rsid w:val="00A76D34"/>
    <w:rsid w:val="00A772A0"/>
    <w:rsid w:val="00A84306"/>
    <w:rsid w:val="00A85C7E"/>
    <w:rsid w:val="00AE4CC6"/>
    <w:rsid w:val="00AF2C38"/>
    <w:rsid w:val="00B0194C"/>
    <w:rsid w:val="00B03AC8"/>
    <w:rsid w:val="00B06B49"/>
    <w:rsid w:val="00B16891"/>
    <w:rsid w:val="00B35A7C"/>
    <w:rsid w:val="00B427A7"/>
    <w:rsid w:val="00B43F99"/>
    <w:rsid w:val="00B51307"/>
    <w:rsid w:val="00B51D17"/>
    <w:rsid w:val="00B7586C"/>
    <w:rsid w:val="00B871DE"/>
    <w:rsid w:val="00B91112"/>
    <w:rsid w:val="00BA183A"/>
    <w:rsid w:val="00BB20DE"/>
    <w:rsid w:val="00BB28BC"/>
    <w:rsid w:val="00BB72A1"/>
    <w:rsid w:val="00BD3390"/>
    <w:rsid w:val="00BD677B"/>
    <w:rsid w:val="00BE00C9"/>
    <w:rsid w:val="00BE40E7"/>
    <w:rsid w:val="00BF6E40"/>
    <w:rsid w:val="00C0378F"/>
    <w:rsid w:val="00C16A37"/>
    <w:rsid w:val="00C20A1B"/>
    <w:rsid w:val="00C25900"/>
    <w:rsid w:val="00C34BB5"/>
    <w:rsid w:val="00C3527E"/>
    <w:rsid w:val="00C44C5B"/>
    <w:rsid w:val="00C46267"/>
    <w:rsid w:val="00C46C15"/>
    <w:rsid w:val="00C4708A"/>
    <w:rsid w:val="00C506A4"/>
    <w:rsid w:val="00C52236"/>
    <w:rsid w:val="00C64E65"/>
    <w:rsid w:val="00C839BE"/>
    <w:rsid w:val="00CA76A5"/>
    <w:rsid w:val="00CC15E2"/>
    <w:rsid w:val="00CC5602"/>
    <w:rsid w:val="00CD2117"/>
    <w:rsid w:val="00CD26AB"/>
    <w:rsid w:val="00CF3725"/>
    <w:rsid w:val="00D0117D"/>
    <w:rsid w:val="00D24473"/>
    <w:rsid w:val="00D26516"/>
    <w:rsid w:val="00D270E5"/>
    <w:rsid w:val="00D27614"/>
    <w:rsid w:val="00D35E7D"/>
    <w:rsid w:val="00D62154"/>
    <w:rsid w:val="00D65F38"/>
    <w:rsid w:val="00D675FA"/>
    <w:rsid w:val="00D67A06"/>
    <w:rsid w:val="00D720A9"/>
    <w:rsid w:val="00D755B1"/>
    <w:rsid w:val="00DA4CD8"/>
    <w:rsid w:val="00DB0D9E"/>
    <w:rsid w:val="00DB13A3"/>
    <w:rsid w:val="00DD406F"/>
    <w:rsid w:val="00DD766D"/>
    <w:rsid w:val="00DE25E2"/>
    <w:rsid w:val="00DE7EE1"/>
    <w:rsid w:val="00DF3B7B"/>
    <w:rsid w:val="00DF4744"/>
    <w:rsid w:val="00E00CB9"/>
    <w:rsid w:val="00E03127"/>
    <w:rsid w:val="00E03DBE"/>
    <w:rsid w:val="00E130D4"/>
    <w:rsid w:val="00E20520"/>
    <w:rsid w:val="00E23323"/>
    <w:rsid w:val="00E32AA8"/>
    <w:rsid w:val="00E423DA"/>
    <w:rsid w:val="00E66100"/>
    <w:rsid w:val="00E6690F"/>
    <w:rsid w:val="00E67A18"/>
    <w:rsid w:val="00E745C5"/>
    <w:rsid w:val="00E8118E"/>
    <w:rsid w:val="00E8485F"/>
    <w:rsid w:val="00E905FE"/>
    <w:rsid w:val="00E92028"/>
    <w:rsid w:val="00EA272E"/>
    <w:rsid w:val="00EB46F0"/>
    <w:rsid w:val="00EB59B6"/>
    <w:rsid w:val="00EC67E6"/>
    <w:rsid w:val="00ED0D96"/>
    <w:rsid w:val="00ED3271"/>
    <w:rsid w:val="00EE5726"/>
    <w:rsid w:val="00EE7F62"/>
    <w:rsid w:val="00EF5E2B"/>
    <w:rsid w:val="00EF6F1E"/>
    <w:rsid w:val="00EF75B2"/>
    <w:rsid w:val="00F050EA"/>
    <w:rsid w:val="00F12024"/>
    <w:rsid w:val="00F178ED"/>
    <w:rsid w:val="00F233A9"/>
    <w:rsid w:val="00F41987"/>
    <w:rsid w:val="00F52BD0"/>
    <w:rsid w:val="00F60161"/>
    <w:rsid w:val="00F6045F"/>
    <w:rsid w:val="00F6481B"/>
    <w:rsid w:val="00F66BCE"/>
    <w:rsid w:val="00F87282"/>
    <w:rsid w:val="00FA0A93"/>
    <w:rsid w:val="00FA1948"/>
    <w:rsid w:val="00FA6595"/>
    <w:rsid w:val="00FB7E94"/>
    <w:rsid w:val="00FC1464"/>
    <w:rsid w:val="00FC306C"/>
    <w:rsid w:val="00FD2DD8"/>
    <w:rsid w:val="00FE340A"/>
    <w:rsid w:val="00FF6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1F48"/>
  <w15:docId w15:val="{5D928BB6-9D14-480F-B126-D99D355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BCE"/>
  </w:style>
  <w:style w:type="paragraph" w:styleId="Heading1">
    <w:name w:val="heading 1"/>
    <w:basedOn w:val="Normal"/>
    <w:link w:val="Heading1Char"/>
    <w:uiPriority w:val="1"/>
    <w:qFormat/>
    <w:rsid w:val="00E20520"/>
    <w:pPr>
      <w:widowControl w:val="0"/>
      <w:autoSpaceDE w:val="0"/>
      <w:autoSpaceDN w:val="0"/>
      <w:spacing w:after="0" w:line="240" w:lineRule="auto"/>
      <w:ind w:left="8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Char Char2,Char Char Char,Char Char Char Char Char,Char Char1,Char Char Char Char Char Char Char1,Char Char Char Char Char1,Char Char Char Char Char Char1,Char Char Cha Char,Header Char Char Char Char1,Header Char Char1, Char,Char"/>
    <w:basedOn w:val="Normal"/>
    <w:link w:val="HeaderChar"/>
    <w:unhideWhenUsed/>
    <w:rsid w:val="00257398"/>
    <w:pPr>
      <w:tabs>
        <w:tab w:val="center" w:pos="4680"/>
        <w:tab w:val="right" w:pos="9360"/>
      </w:tabs>
      <w:spacing w:after="0" w:line="240" w:lineRule="auto"/>
    </w:pPr>
  </w:style>
  <w:style w:type="character" w:customStyle="1" w:styleId="HeaderChar">
    <w:name w:val="Header Char"/>
    <w:aliases w:val="Header Char1 Char,Char Char2 Char,Char Char Char Char,Char Char Char Char Char Char,Char Char1 Char,Char Char Char Char Char Char Char1 Char,Char Char Char Char Char1 Char,Char Char Char Char Char Char1 Char,Char Char Cha Char Char,Char Char"/>
    <w:basedOn w:val="DefaultParagraphFont"/>
    <w:link w:val="Header"/>
    <w:rsid w:val="00257398"/>
  </w:style>
  <w:style w:type="paragraph" w:styleId="Footer">
    <w:name w:val="footer"/>
    <w:basedOn w:val="Normal"/>
    <w:link w:val="FooterChar"/>
    <w:uiPriority w:val="99"/>
    <w:unhideWhenUsed/>
    <w:rsid w:val="00257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98"/>
  </w:style>
  <w:style w:type="paragraph" w:styleId="ListParagraph">
    <w:name w:val="List Paragraph"/>
    <w:basedOn w:val="Normal"/>
    <w:uiPriority w:val="1"/>
    <w:qFormat/>
    <w:rsid w:val="00A249C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24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249C8"/>
    <w:pPr>
      <w:spacing w:before="240" w:after="0"/>
      <w:jc w:val="center"/>
    </w:pPr>
    <w:rPr>
      <w:rFonts w:ascii="Bookman Old Style" w:eastAsia="Times New Roman" w:hAnsi="Bookman Old Style" w:cs="Times New Roman"/>
      <w:b/>
      <w:noProof/>
      <w:szCs w:val="20"/>
    </w:rPr>
  </w:style>
  <w:style w:type="paragraph" w:styleId="NormalWeb">
    <w:name w:val="Normal (Web)"/>
    <w:aliases w:val="Normal (Web) Char,Normal (Web) Char Char,Normal (Web)1 Char,Normal (Web) Char Char Char Char Char,Normal (Web) Char Char Char Char,Normal (Web) Char Char Char,Normal (Web)1,webb"/>
    <w:basedOn w:val="Normal"/>
    <w:link w:val="NormalWebChar1"/>
    <w:uiPriority w:val="99"/>
    <w:unhideWhenUsed/>
    <w:qFormat/>
    <w:rsid w:val="001D2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64A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B7E94"/>
    <w:rPr>
      <w:b/>
      <w:bCs/>
    </w:rPr>
  </w:style>
  <w:style w:type="character" w:styleId="Emphasis">
    <w:name w:val="Emphasis"/>
    <w:basedOn w:val="DefaultParagraphFont"/>
    <w:uiPriority w:val="20"/>
    <w:qFormat/>
    <w:rsid w:val="00FB7E94"/>
    <w:rPr>
      <w:i/>
      <w:iCs/>
    </w:rPr>
  </w:style>
  <w:style w:type="paragraph" w:styleId="BodyText">
    <w:name w:val="Body Text"/>
    <w:basedOn w:val="Normal"/>
    <w:link w:val="BodyTextChar"/>
    <w:unhideWhenUsed/>
    <w:rsid w:val="009569C4"/>
    <w:pPr>
      <w:spacing w:after="120"/>
    </w:pPr>
  </w:style>
  <w:style w:type="character" w:customStyle="1" w:styleId="BodyTextChar">
    <w:name w:val="Body Text Char"/>
    <w:basedOn w:val="DefaultParagraphFont"/>
    <w:link w:val="BodyText"/>
    <w:rsid w:val="009569C4"/>
  </w:style>
  <w:style w:type="paragraph" w:styleId="BalloonText">
    <w:name w:val="Balloon Text"/>
    <w:basedOn w:val="Normal"/>
    <w:link w:val="BalloonTextChar"/>
    <w:uiPriority w:val="99"/>
    <w:semiHidden/>
    <w:unhideWhenUsed/>
    <w:rsid w:val="003C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F7"/>
    <w:rPr>
      <w:rFonts w:ascii="Tahoma" w:hAnsi="Tahoma" w:cs="Tahoma"/>
      <w:sz w:val="16"/>
      <w:szCs w:val="16"/>
    </w:rPr>
  </w:style>
  <w:style w:type="character" w:styleId="Hyperlink">
    <w:name w:val="Hyperlink"/>
    <w:basedOn w:val="DefaultParagraphFont"/>
    <w:uiPriority w:val="99"/>
    <w:unhideWhenUsed/>
    <w:rsid w:val="007F2079"/>
    <w:rPr>
      <w:color w:val="0000FF" w:themeColor="hyperlink"/>
      <w:u w:val="single"/>
    </w:rPr>
  </w:style>
  <w:style w:type="character" w:customStyle="1" w:styleId="NormalWebChar1">
    <w:name w:val="Normal (Web) Char1"/>
    <w:aliases w:val="Normal (Web) Char Char1,Normal (Web) Char Char Char1,Normal (Web)1 Char Char,Normal (Web) Char Char Char Char Char Char,Normal (Web) Char Char Char Char Char1,Normal (Web) Char Char Char Char1,Normal (Web)1 Char1,webb Char"/>
    <w:basedOn w:val="DefaultParagraphFont"/>
    <w:link w:val="NormalWeb"/>
    <w:uiPriority w:val="99"/>
    <w:rsid w:val="00A8430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057C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E2052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844">
      <w:bodyDiv w:val="1"/>
      <w:marLeft w:val="0"/>
      <w:marRight w:val="0"/>
      <w:marTop w:val="0"/>
      <w:marBottom w:val="0"/>
      <w:divBdr>
        <w:top w:val="none" w:sz="0" w:space="0" w:color="auto"/>
        <w:left w:val="none" w:sz="0" w:space="0" w:color="auto"/>
        <w:bottom w:val="none" w:sz="0" w:space="0" w:color="auto"/>
        <w:right w:val="none" w:sz="0" w:space="0" w:color="auto"/>
      </w:divBdr>
    </w:div>
    <w:div w:id="198975209">
      <w:bodyDiv w:val="1"/>
      <w:marLeft w:val="0"/>
      <w:marRight w:val="0"/>
      <w:marTop w:val="0"/>
      <w:marBottom w:val="0"/>
      <w:divBdr>
        <w:top w:val="none" w:sz="0" w:space="0" w:color="auto"/>
        <w:left w:val="none" w:sz="0" w:space="0" w:color="auto"/>
        <w:bottom w:val="none" w:sz="0" w:space="0" w:color="auto"/>
        <w:right w:val="none" w:sz="0" w:space="0" w:color="auto"/>
      </w:divBdr>
      <w:divsChild>
        <w:div w:id="1041511879">
          <w:marLeft w:val="0"/>
          <w:marRight w:val="0"/>
          <w:marTop w:val="0"/>
          <w:marBottom w:val="0"/>
          <w:divBdr>
            <w:top w:val="none" w:sz="0" w:space="0" w:color="auto"/>
            <w:left w:val="none" w:sz="0" w:space="0" w:color="auto"/>
            <w:bottom w:val="none" w:sz="0" w:space="0" w:color="auto"/>
            <w:right w:val="none" w:sz="0" w:space="0" w:color="auto"/>
          </w:divBdr>
        </w:div>
        <w:div w:id="452213287">
          <w:marLeft w:val="0"/>
          <w:marRight w:val="0"/>
          <w:marTop w:val="0"/>
          <w:marBottom w:val="0"/>
          <w:divBdr>
            <w:top w:val="none" w:sz="0" w:space="0" w:color="auto"/>
            <w:left w:val="none" w:sz="0" w:space="0" w:color="auto"/>
            <w:bottom w:val="none" w:sz="0" w:space="0" w:color="auto"/>
            <w:right w:val="none" w:sz="0" w:space="0" w:color="auto"/>
          </w:divBdr>
        </w:div>
      </w:divsChild>
    </w:div>
    <w:div w:id="202906928">
      <w:bodyDiv w:val="1"/>
      <w:marLeft w:val="0"/>
      <w:marRight w:val="0"/>
      <w:marTop w:val="0"/>
      <w:marBottom w:val="0"/>
      <w:divBdr>
        <w:top w:val="none" w:sz="0" w:space="0" w:color="auto"/>
        <w:left w:val="none" w:sz="0" w:space="0" w:color="auto"/>
        <w:bottom w:val="none" w:sz="0" w:space="0" w:color="auto"/>
        <w:right w:val="none" w:sz="0" w:space="0" w:color="auto"/>
      </w:divBdr>
    </w:div>
    <w:div w:id="282078108">
      <w:bodyDiv w:val="1"/>
      <w:marLeft w:val="0"/>
      <w:marRight w:val="0"/>
      <w:marTop w:val="0"/>
      <w:marBottom w:val="0"/>
      <w:divBdr>
        <w:top w:val="none" w:sz="0" w:space="0" w:color="auto"/>
        <w:left w:val="none" w:sz="0" w:space="0" w:color="auto"/>
        <w:bottom w:val="none" w:sz="0" w:space="0" w:color="auto"/>
        <w:right w:val="none" w:sz="0" w:space="0" w:color="auto"/>
      </w:divBdr>
      <w:divsChild>
        <w:div w:id="1919248105">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427703076">
      <w:bodyDiv w:val="1"/>
      <w:marLeft w:val="0"/>
      <w:marRight w:val="0"/>
      <w:marTop w:val="0"/>
      <w:marBottom w:val="0"/>
      <w:divBdr>
        <w:top w:val="none" w:sz="0" w:space="0" w:color="auto"/>
        <w:left w:val="none" w:sz="0" w:space="0" w:color="auto"/>
        <w:bottom w:val="none" w:sz="0" w:space="0" w:color="auto"/>
        <w:right w:val="none" w:sz="0" w:space="0" w:color="auto"/>
      </w:divBdr>
      <w:divsChild>
        <w:div w:id="1777363715">
          <w:marLeft w:val="0"/>
          <w:marRight w:val="0"/>
          <w:marTop w:val="0"/>
          <w:marBottom w:val="0"/>
          <w:divBdr>
            <w:top w:val="none" w:sz="0" w:space="0" w:color="auto"/>
            <w:left w:val="none" w:sz="0" w:space="0" w:color="auto"/>
            <w:bottom w:val="none" w:sz="0" w:space="0" w:color="auto"/>
            <w:right w:val="none" w:sz="0" w:space="0" w:color="auto"/>
          </w:divBdr>
        </w:div>
        <w:div w:id="158009968">
          <w:marLeft w:val="0"/>
          <w:marRight w:val="0"/>
          <w:marTop w:val="0"/>
          <w:marBottom w:val="0"/>
          <w:divBdr>
            <w:top w:val="none" w:sz="0" w:space="0" w:color="auto"/>
            <w:left w:val="none" w:sz="0" w:space="0" w:color="auto"/>
            <w:bottom w:val="none" w:sz="0" w:space="0" w:color="auto"/>
            <w:right w:val="none" w:sz="0" w:space="0" w:color="auto"/>
          </w:divBdr>
        </w:div>
        <w:div w:id="2002467607">
          <w:marLeft w:val="0"/>
          <w:marRight w:val="0"/>
          <w:marTop w:val="0"/>
          <w:marBottom w:val="0"/>
          <w:divBdr>
            <w:top w:val="none" w:sz="0" w:space="0" w:color="auto"/>
            <w:left w:val="none" w:sz="0" w:space="0" w:color="auto"/>
            <w:bottom w:val="none" w:sz="0" w:space="0" w:color="auto"/>
            <w:right w:val="none" w:sz="0" w:space="0" w:color="auto"/>
          </w:divBdr>
        </w:div>
        <w:div w:id="2012560900">
          <w:marLeft w:val="0"/>
          <w:marRight w:val="0"/>
          <w:marTop w:val="0"/>
          <w:marBottom w:val="0"/>
          <w:divBdr>
            <w:top w:val="none" w:sz="0" w:space="0" w:color="auto"/>
            <w:left w:val="none" w:sz="0" w:space="0" w:color="auto"/>
            <w:bottom w:val="none" w:sz="0" w:space="0" w:color="auto"/>
            <w:right w:val="none" w:sz="0" w:space="0" w:color="auto"/>
          </w:divBdr>
        </w:div>
        <w:div w:id="1025716861">
          <w:marLeft w:val="0"/>
          <w:marRight w:val="0"/>
          <w:marTop w:val="0"/>
          <w:marBottom w:val="0"/>
          <w:divBdr>
            <w:top w:val="none" w:sz="0" w:space="0" w:color="auto"/>
            <w:left w:val="none" w:sz="0" w:space="0" w:color="auto"/>
            <w:bottom w:val="none" w:sz="0" w:space="0" w:color="auto"/>
            <w:right w:val="none" w:sz="0" w:space="0" w:color="auto"/>
          </w:divBdr>
        </w:div>
        <w:div w:id="1926651487">
          <w:marLeft w:val="0"/>
          <w:marRight w:val="0"/>
          <w:marTop w:val="0"/>
          <w:marBottom w:val="0"/>
          <w:divBdr>
            <w:top w:val="none" w:sz="0" w:space="0" w:color="auto"/>
            <w:left w:val="none" w:sz="0" w:space="0" w:color="auto"/>
            <w:bottom w:val="none" w:sz="0" w:space="0" w:color="auto"/>
            <w:right w:val="none" w:sz="0" w:space="0" w:color="auto"/>
          </w:divBdr>
        </w:div>
        <w:div w:id="2051299127">
          <w:marLeft w:val="0"/>
          <w:marRight w:val="0"/>
          <w:marTop w:val="0"/>
          <w:marBottom w:val="0"/>
          <w:divBdr>
            <w:top w:val="none" w:sz="0" w:space="0" w:color="auto"/>
            <w:left w:val="none" w:sz="0" w:space="0" w:color="auto"/>
            <w:bottom w:val="none" w:sz="0" w:space="0" w:color="auto"/>
            <w:right w:val="none" w:sz="0" w:space="0" w:color="auto"/>
          </w:divBdr>
        </w:div>
        <w:div w:id="1797138646">
          <w:marLeft w:val="0"/>
          <w:marRight w:val="0"/>
          <w:marTop w:val="0"/>
          <w:marBottom w:val="0"/>
          <w:divBdr>
            <w:top w:val="none" w:sz="0" w:space="0" w:color="auto"/>
            <w:left w:val="none" w:sz="0" w:space="0" w:color="auto"/>
            <w:bottom w:val="none" w:sz="0" w:space="0" w:color="auto"/>
            <w:right w:val="none" w:sz="0" w:space="0" w:color="auto"/>
          </w:divBdr>
        </w:div>
        <w:div w:id="679553624">
          <w:marLeft w:val="0"/>
          <w:marRight w:val="0"/>
          <w:marTop w:val="0"/>
          <w:marBottom w:val="0"/>
          <w:divBdr>
            <w:top w:val="none" w:sz="0" w:space="0" w:color="auto"/>
            <w:left w:val="none" w:sz="0" w:space="0" w:color="auto"/>
            <w:bottom w:val="none" w:sz="0" w:space="0" w:color="auto"/>
            <w:right w:val="none" w:sz="0" w:space="0" w:color="auto"/>
          </w:divBdr>
        </w:div>
      </w:divsChild>
    </w:div>
    <w:div w:id="545022021">
      <w:bodyDiv w:val="1"/>
      <w:marLeft w:val="0"/>
      <w:marRight w:val="0"/>
      <w:marTop w:val="0"/>
      <w:marBottom w:val="0"/>
      <w:divBdr>
        <w:top w:val="none" w:sz="0" w:space="0" w:color="auto"/>
        <w:left w:val="none" w:sz="0" w:space="0" w:color="auto"/>
        <w:bottom w:val="none" w:sz="0" w:space="0" w:color="auto"/>
        <w:right w:val="none" w:sz="0" w:space="0" w:color="auto"/>
      </w:divBdr>
      <w:divsChild>
        <w:div w:id="1393625216">
          <w:marLeft w:val="0"/>
          <w:marRight w:val="0"/>
          <w:marTop w:val="0"/>
          <w:marBottom w:val="0"/>
          <w:divBdr>
            <w:top w:val="none" w:sz="0" w:space="0" w:color="auto"/>
            <w:left w:val="none" w:sz="0" w:space="0" w:color="auto"/>
            <w:bottom w:val="none" w:sz="0" w:space="0" w:color="auto"/>
            <w:right w:val="none" w:sz="0" w:space="0" w:color="auto"/>
          </w:divBdr>
        </w:div>
        <w:div w:id="335037919">
          <w:marLeft w:val="0"/>
          <w:marRight w:val="0"/>
          <w:marTop w:val="0"/>
          <w:marBottom w:val="0"/>
          <w:divBdr>
            <w:top w:val="none" w:sz="0" w:space="0" w:color="auto"/>
            <w:left w:val="none" w:sz="0" w:space="0" w:color="auto"/>
            <w:bottom w:val="none" w:sz="0" w:space="0" w:color="auto"/>
            <w:right w:val="none" w:sz="0" w:space="0" w:color="auto"/>
          </w:divBdr>
        </w:div>
        <w:div w:id="173229660">
          <w:marLeft w:val="0"/>
          <w:marRight w:val="0"/>
          <w:marTop w:val="0"/>
          <w:marBottom w:val="0"/>
          <w:divBdr>
            <w:top w:val="none" w:sz="0" w:space="0" w:color="auto"/>
            <w:left w:val="none" w:sz="0" w:space="0" w:color="auto"/>
            <w:bottom w:val="none" w:sz="0" w:space="0" w:color="auto"/>
            <w:right w:val="none" w:sz="0" w:space="0" w:color="auto"/>
          </w:divBdr>
        </w:div>
        <w:div w:id="1352606149">
          <w:marLeft w:val="0"/>
          <w:marRight w:val="0"/>
          <w:marTop w:val="0"/>
          <w:marBottom w:val="0"/>
          <w:divBdr>
            <w:top w:val="none" w:sz="0" w:space="0" w:color="auto"/>
            <w:left w:val="none" w:sz="0" w:space="0" w:color="auto"/>
            <w:bottom w:val="none" w:sz="0" w:space="0" w:color="auto"/>
            <w:right w:val="none" w:sz="0" w:space="0" w:color="auto"/>
          </w:divBdr>
        </w:div>
        <w:div w:id="440219951">
          <w:marLeft w:val="0"/>
          <w:marRight w:val="0"/>
          <w:marTop w:val="0"/>
          <w:marBottom w:val="0"/>
          <w:divBdr>
            <w:top w:val="none" w:sz="0" w:space="0" w:color="auto"/>
            <w:left w:val="none" w:sz="0" w:space="0" w:color="auto"/>
            <w:bottom w:val="none" w:sz="0" w:space="0" w:color="auto"/>
            <w:right w:val="none" w:sz="0" w:space="0" w:color="auto"/>
          </w:divBdr>
        </w:div>
        <w:div w:id="1361516307">
          <w:marLeft w:val="0"/>
          <w:marRight w:val="0"/>
          <w:marTop w:val="0"/>
          <w:marBottom w:val="0"/>
          <w:divBdr>
            <w:top w:val="none" w:sz="0" w:space="0" w:color="auto"/>
            <w:left w:val="none" w:sz="0" w:space="0" w:color="auto"/>
            <w:bottom w:val="none" w:sz="0" w:space="0" w:color="auto"/>
            <w:right w:val="none" w:sz="0" w:space="0" w:color="auto"/>
          </w:divBdr>
        </w:div>
        <w:div w:id="1235116936">
          <w:marLeft w:val="0"/>
          <w:marRight w:val="0"/>
          <w:marTop w:val="0"/>
          <w:marBottom w:val="0"/>
          <w:divBdr>
            <w:top w:val="none" w:sz="0" w:space="0" w:color="auto"/>
            <w:left w:val="none" w:sz="0" w:space="0" w:color="auto"/>
            <w:bottom w:val="none" w:sz="0" w:space="0" w:color="auto"/>
            <w:right w:val="none" w:sz="0" w:space="0" w:color="auto"/>
          </w:divBdr>
        </w:div>
        <w:div w:id="1248176">
          <w:marLeft w:val="0"/>
          <w:marRight w:val="0"/>
          <w:marTop w:val="0"/>
          <w:marBottom w:val="0"/>
          <w:divBdr>
            <w:top w:val="none" w:sz="0" w:space="0" w:color="auto"/>
            <w:left w:val="none" w:sz="0" w:space="0" w:color="auto"/>
            <w:bottom w:val="none" w:sz="0" w:space="0" w:color="auto"/>
            <w:right w:val="none" w:sz="0" w:space="0" w:color="auto"/>
          </w:divBdr>
        </w:div>
        <w:div w:id="1615552132">
          <w:marLeft w:val="0"/>
          <w:marRight w:val="0"/>
          <w:marTop w:val="0"/>
          <w:marBottom w:val="0"/>
          <w:divBdr>
            <w:top w:val="none" w:sz="0" w:space="0" w:color="auto"/>
            <w:left w:val="none" w:sz="0" w:space="0" w:color="auto"/>
            <w:bottom w:val="none" w:sz="0" w:space="0" w:color="auto"/>
            <w:right w:val="none" w:sz="0" w:space="0" w:color="auto"/>
          </w:divBdr>
        </w:div>
        <w:div w:id="179318755">
          <w:marLeft w:val="0"/>
          <w:marRight w:val="0"/>
          <w:marTop w:val="0"/>
          <w:marBottom w:val="0"/>
          <w:divBdr>
            <w:top w:val="none" w:sz="0" w:space="0" w:color="auto"/>
            <w:left w:val="none" w:sz="0" w:space="0" w:color="auto"/>
            <w:bottom w:val="none" w:sz="0" w:space="0" w:color="auto"/>
            <w:right w:val="none" w:sz="0" w:space="0" w:color="auto"/>
          </w:divBdr>
        </w:div>
        <w:div w:id="515195621">
          <w:marLeft w:val="0"/>
          <w:marRight w:val="0"/>
          <w:marTop w:val="0"/>
          <w:marBottom w:val="0"/>
          <w:divBdr>
            <w:top w:val="none" w:sz="0" w:space="0" w:color="auto"/>
            <w:left w:val="none" w:sz="0" w:space="0" w:color="auto"/>
            <w:bottom w:val="none" w:sz="0" w:space="0" w:color="auto"/>
            <w:right w:val="none" w:sz="0" w:space="0" w:color="auto"/>
          </w:divBdr>
        </w:div>
        <w:div w:id="1700085338">
          <w:marLeft w:val="0"/>
          <w:marRight w:val="0"/>
          <w:marTop w:val="0"/>
          <w:marBottom w:val="0"/>
          <w:divBdr>
            <w:top w:val="none" w:sz="0" w:space="0" w:color="auto"/>
            <w:left w:val="none" w:sz="0" w:space="0" w:color="auto"/>
            <w:bottom w:val="none" w:sz="0" w:space="0" w:color="auto"/>
            <w:right w:val="none" w:sz="0" w:space="0" w:color="auto"/>
          </w:divBdr>
        </w:div>
        <w:div w:id="171654132">
          <w:marLeft w:val="0"/>
          <w:marRight w:val="0"/>
          <w:marTop w:val="0"/>
          <w:marBottom w:val="0"/>
          <w:divBdr>
            <w:top w:val="none" w:sz="0" w:space="0" w:color="auto"/>
            <w:left w:val="none" w:sz="0" w:space="0" w:color="auto"/>
            <w:bottom w:val="none" w:sz="0" w:space="0" w:color="auto"/>
            <w:right w:val="none" w:sz="0" w:space="0" w:color="auto"/>
          </w:divBdr>
        </w:div>
        <w:div w:id="309287838">
          <w:marLeft w:val="0"/>
          <w:marRight w:val="0"/>
          <w:marTop w:val="0"/>
          <w:marBottom w:val="0"/>
          <w:divBdr>
            <w:top w:val="none" w:sz="0" w:space="0" w:color="auto"/>
            <w:left w:val="none" w:sz="0" w:space="0" w:color="auto"/>
            <w:bottom w:val="none" w:sz="0" w:space="0" w:color="auto"/>
            <w:right w:val="none" w:sz="0" w:space="0" w:color="auto"/>
          </w:divBdr>
        </w:div>
        <w:div w:id="1519389731">
          <w:marLeft w:val="0"/>
          <w:marRight w:val="0"/>
          <w:marTop w:val="0"/>
          <w:marBottom w:val="0"/>
          <w:divBdr>
            <w:top w:val="none" w:sz="0" w:space="0" w:color="auto"/>
            <w:left w:val="none" w:sz="0" w:space="0" w:color="auto"/>
            <w:bottom w:val="none" w:sz="0" w:space="0" w:color="auto"/>
            <w:right w:val="none" w:sz="0" w:space="0" w:color="auto"/>
          </w:divBdr>
        </w:div>
      </w:divsChild>
    </w:div>
    <w:div w:id="723798960">
      <w:bodyDiv w:val="1"/>
      <w:marLeft w:val="0"/>
      <w:marRight w:val="0"/>
      <w:marTop w:val="0"/>
      <w:marBottom w:val="0"/>
      <w:divBdr>
        <w:top w:val="none" w:sz="0" w:space="0" w:color="auto"/>
        <w:left w:val="none" w:sz="0" w:space="0" w:color="auto"/>
        <w:bottom w:val="none" w:sz="0" w:space="0" w:color="auto"/>
        <w:right w:val="none" w:sz="0" w:space="0" w:color="auto"/>
      </w:divBdr>
      <w:divsChild>
        <w:div w:id="847597578">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725564403">
      <w:bodyDiv w:val="1"/>
      <w:marLeft w:val="0"/>
      <w:marRight w:val="0"/>
      <w:marTop w:val="0"/>
      <w:marBottom w:val="0"/>
      <w:divBdr>
        <w:top w:val="none" w:sz="0" w:space="0" w:color="auto"/>
        <w:left w:val="none" w:sz="0" w:space="0" w:color="auto"/>
        <w:bottom w:val="none" w:sz="0" w:space="0" w:color="auto"/>
        <w:right w:val="none" w:sz="0" w:space="0" w:color="auto"/>
      </w:divBdr>
    </w:div>
    <w:div w:id="779885079">
      <w:bodyDiv w:val="1"/>
      <w:marLeft w:val="0"/>
      <w:marRight w:val="0"/>
      <w:marTop w:val="0"/>
      <w:marBottom w:val="0"/>
      <w:divBdr>
        <w:top w:val="none" w:sz="0" w:space="0" w:color="auto"/>
        <w:left w:val="none" w:sz="0" w:space="0" w:color="auto"/>
        <w:bottom w:val="none" w:sz="0" w:space="0" w:color="auto"/>
        <w:right w:val="none" w:sz="0" w:space="0" w:color="auto"/>
      </w:divBdr>
    </w:div>
    <w:div w:id="877010017">
      <w:bodyDiv w:val="1"/>
      <w:marLeft w:val="0"/>
      <w:marRight w:val="0"/>
      <w:marTop w:val="0"/>
      <w:marBottom w:val="0"/>
      <w:divBdr>
        <w:top w:val="none" w:sz="0" w:space="0" w:color="auto"/>
        <w:left w:val="none" w:sz="0" w:space="0" w:color="auto"/>
        <w:bottom w:val="none" w:sz="0" w:space="0" w:color="auto"/>
        <w:right w:val="none" w:sz="0" w:space="0" w:color="auto"/>
      </w:divBdr>
    </w:div>
    <w:div w:id="929853926">
      <w:bodyDiv w:val="1"/>
      <w:marLeft w:val="0"/>
      <w:marRight w:val="0"/>
      <w:marTop w:val="0"/>
      <w:marBottom w:val="0"/>
      <w:divBdr>
        <w:top w:val="none" w:sz="0" w:space="0" w:color="auto"/>
        <w:left w:val="none" w:sz="0" w:space="0" w:color="auto"/>
        <w:bottom w:val="none" w:sz="0" w:space="0" w:color="auto"/>
        <w:right w:val="none" w:sz="0" w:space="0" w:color="auto"/>
      </w:divBdr>
      <w:divsChild>
        <w:div w:id="1492714187">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946352098">
      <w:bodyDiv w:val="1"/>
      <w:marLeft w:val="0"/>
      <w:marRight w:val="0"/>
      <w:marTop w:val="0"/>
      <w:marBottom w:val="0"/>
      <w:divBdr>
        <w:top w:val="none" w:sz="0" w:space="0" w:color="auto"/>
        <w:left w:val="none" w:sz="0" w:space="0" w:color="auto"/>
        <w:bottom w:val="none" w:sz="0" w:space="0" w:color="auto"/>
        <w:right w:val="none" w:sz="0" w:space="0" w:color="auto"/>
      </w:divBdr>
    </w:div>
    <w:div w:id="1160925418">
      <w:bodyDiv w:val="1"/>
      <w:marLeft w:val="0"/>
      <w:marRight w:val="0"/>
      <w:marTop w:val="0"/>
      <w:marBottom w:val="0"/>
      <w:divBdr>
        <w:top w:val="none" w:sz="0" w:space="0" w:color="auto"/>
        <w:left w:val="none" w:sz="0" w:space="0" w:color="auto"/>
        <w:bottom w:val="none" w:sz="0" w:space="0" w:color="auto"/>
        <w:right w:val="none" w:sz="0" w:space="0" w:color="auto"/>
      </w:divBdr>
    </w:div>
    <w:div w:id="1193613733">
      <w:bodyDiv w:val="1"/>
      <w:marLeft w:val="0"/>
      <w:marRight w:val="0"/>
      <w:marTop w:val="0"/>
      <w:marBottom w:val="0"/>
      <w:divBdr>
        <w:top w:val="none" w:sz="0" w:space="0" w:color="auto"/>
        <w:left w:val="none" w:sz="0" w:space="0" w:color="auto"/>
        <w:bottom w:val="none" w:sz="0" w:space="0" w:color="auto"/>
        <w:right w:val="none" w:sz="0" w:space="0" w:color="auto"/>
      </w:divBdr>
    </w:div>
    <w:div w:id="1296718917">
      <w:bodyDiv w:val="1"/>
      <w:marLeft w:val="0"/>
      <w:marRight w:val="0"/>
      <w:marTop w:val="0"/>
      <w:marBottom w:val="0"/>
      <w:divBdr>
        <w:top w:val="none" w:sz="0" w:space="0" w:color="auto"/>
        <w:left w:val="none" w:sz="0" w:space="0" w:color="auto"/>
        <w:bottom w:val="none" w:sz="0" w:space="0" w:color="auto"/>
        <w:right w:val="none" w:sz="0" w:space="0" w:color="auto"/>
      </w:divBdr>
      <w:divsChild>
        <w:div w:id="1772238683">
          <w:marLeft w:val="0"/>
          <w:marRight w:val="0"/>
          <w:marTop w:val="0"/>
          <w:marBottom w:val="214"/>
          <w:divBdr>
            <w:top w:val="single" w:sz="6" w:space="0" w:color="DDDDDD"/>
            <w:left w:val="single" w:sz="6" w:space="0" w:color="DDDDDD"/>
            <w:bottom w:val="single" w:sz="6" w:space="0" w:color="DDDDDD"/>
            <w:right w:val="single" w:sz="6" w:space="0" w:color="DDDDDD"/>
          </w:divBdr>
        </w:div>
        <w:div w:id="609236921">
          <w:marLeft w:val="0"/>
          <w:marRight w:val="0"/>
          <w:marTop w:val="0"/>
          <w:marBottom w:val="214"/>
          <w:divBdr>
            <w:top w:val="single" w:sz="6" w:space="0" w:color="DDDDDD"/>
            <w:left w:val="single" w:sz="6" w:space="0" w:color="DDDDDD"/>
            <w:bottom w:val="single" w:sz="6" w:space="0" w:color="DDDDDD"/>
            <w:right w:val="single" w:sz="6" w:space="0" w:color="DDDDDD"/>
          </w:divBdr>
        </w:div>
        <w:div w:id="1809349402">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1426262675">
      <w:bodyDiv w:val="1"/>
      <w:marLeft w:val="0"/>
      <w:marRight w:val="0"/>
      <w:marTop w:val="0"/>
      <w:marBottom w:val="0"/>
      <w:divBdr>
        <w:top w:val="none" w:sz="0" w:space="0" w:color="auto"/>
        <w:left w:val="none" w:sz="0" w:space="0" w:color="auto"/>
        <w:bottom w:val="none" w:sz="0" w:space="0" w:color="auto"/>
        <w:right w:val="none" w:sz="0" w:space="0" w:color="auto"/>
      </w:divBdr>
    </w:div>
    <w:div w:id="1563058630">
      <w:bodyDiv w:val="1"/>
      <w:marLeft w:val="0"/>
      <w:marRight w:val="0"/>
      <w:marTop w:val="0"/>
      <w:marBottom w:val="0"/>
      <w:divBdr>
        <w:top w:val="none" w:sz="0" w:space="0" w:color="auto"/>
        <w:left w:val="none" w:sz="0" w:space="0" w:color="auto"/>
        <w:bottom w:val="none" w:sz="0" w:space="0" w:color="auto"/>
        <w:right w:val="none" w:sz="0" w:space="0" w:color="auto"/>
      </w:divBdr>
    </w:div>
    <w:div w:id="1567255738">
      <w:bodyDiv w:val="1"/>
      <w:marLeft w:val="0"/>
      <w:marRight w:val="0"/>
      <w:marTop w:val="0"/>
      <w:marBottom w:val="0"/>
      <w:divBdr>
        <w:top w:val="none" w:sz="0" w:space="0" w:color="auto"/>
        <w:left w:val="none" w:sz="0" w:space="0" w:color="auto"/>
        <w:bottom w:val="none" w:sz="0" w:space="0" w:color="auto"/>
        <w:right w:val="none" w:sz="0" w:space="0" w:color="auto"/>
      </w:divBdr>
      <w:divsChild>
        <w:div w:id="572280857">
          <w:marLeft w:val="0"/>
          <w:marRight w:val="0"/>
          <w:marTop w:val="0"/>
          <w:marBottom w:val="0"/>
          <w:divBdr>
            <w:top w:val="none" w:sz="0" w:space="0" w:color="auto"/>
            <w:left w:val="none" w:sz="0" w:space="0" w:color="auto"/>
            <w:bottom w:val="none" w:sz="0" w:space="0" w:color="auto"/>
            <w:right w:val="none" w:sz="0" w:space="0" w:color="auto"/>
          </w:divBdr>
          <w:divsChild>
            <w:div w:id="1007175716">
              <w:marLeft w:val="0"/>
              <w:marRight w:val="0"/>
              <w:marTop w:val="0"/>
              <w:marBottom w:val="0"/>
              <w:divBdr>
                <w:top w:val="none" w:sz="0" w:space="0" w:color="auto"/>
                <w:left w:val="none" w:sz="0" w:space="0" w:color="auto"/>
                <w:bottom w:val="none" w:sz="0" w:space="0" w:color="auto"/>
                <w:right w:val="none" w:sz="0" w:space="0" w:color="auto"/>
              </w:divBdr>
            </w:div>
            <w:div w:id="673919772">
              <w:marLeft w:val="0"/>
              <w:marRight w:val="0"/>
              <w:marTop w:val="0"/>
              <w:marBottom w:val="0"/>
              <w:divBdr>
                <w:top w:val="none" w:sz="0" w:space="0" w:color="auto"/>
                <w:left w:val="none" w:sz="0" w:space="0" w:color="auto"/>
                <w:bottom w:val="none" w:sz="0" w:space="0" w:color="auto"/>
                <w:right w:val="none" w:sz="0" w:space="0" w:color="auto"/>
              </w:divBdr>
            </w:div>
            <w:div w:id="1241452528">
              <w:marLeft w:val="0"/>
              <w:marRight w:val="0"/>
              <w:marTop w:val="0"/>
              <w:marBottom w:val="0"/>
              <w:divBdr>
                <w:top w:val="none" w:sz="0" w:space="0" w:color="auto"/>
                <w:left w:val="none" w:sz="0" w:space="0" w:color="auto"/>
                <w:bottom w:val="none" w:sz="0" w:space="0" w:color="auto"/>
                <w:right w:val="none" w:sz="0" w:space="0" w:color="auto"/>
              </w:divBdr>
            </w:div>
            <w:div w:id="1715958024">
              <w:marLeft w:val="0"/>
              <w:marRight w:val="0"/>
              <w:marTop w:val="0"/>
              <w:marBottom w:val="0"/>
              <w:divBdr>
                <w:top w:val="none" w:sz="0" w:space="0" w:color="auto"/>
                <w:left w:val="none" w:sz="0" w:space="0" w:color="auto"/>
                <w:bottom w:val="none" w:sz="0" w:space="0" w:color="auto"/>
                <w:right w:val="none" w:sz="0" w:space="0" w:color="auto"/>
              </w:divBdr>
            </w:div>
            <w:div w:id="1830748567">
              <w:marLeft w:val="0"/>
              <w:marRight w:val="0"/>
              <w:marTop w:val="0"/>
              <w:marBottom w:val="0"/>
              <w:divBdr>
                <w:top w:val="none" w:sz="0" w:space="0" w:color="auto"/>
                <w:left w:val="none" w:sz="0" w:space="0" w:color="auto"/>
                <w:bottom w:val="none" w:sz="0" w:space="0" w:color="auto"/>
                <w:right w:val="none" w:sz="0" w:space="0" w:color="auto"/>
              </w:divBdr>
            </w:div>
            <w:div w:id="368186234">
              <w:marLeft w:val="0"/>
              <w:marRight w:val="0"/>
              <w:marTop w:val="0"/>
              <w:marBottom w:val="0"/>
              <w:divBdr>
                <w:top w:val="none" w:sz="0" w:space="0" w:color="auto"/>
                <w:left w:val="none" w:sz="0" w:space="0" w:color="auto"/>
                <w:bottom w:val="none" w:sz="0" w:space="0" w:color="auto"/>
                <w:right w:val="none" w:sz="0" w:space="0" w:color="auto"/>
              </w:divBdr>
            </w:div>
            <w:div w:id="1273125236">
              <w:marLeft w:val="0"/>
              <w:marRight w:val="0"/>
              <w:marTop w:val="0"/>
              <w:marBottom w:val="0"/>
              <w:divBdr>
                <w:top w:val="none" w:sz="0" w:space="0" w:color="auto"/>
                <w:left w:val="none" w:sz="0" w:space="0" w:color="auto"/>
                <w:bottom w:val="none" w:sz="0" w:space="0" w:color="auto"/>
                <w:right w:val="none" w:sz="0" w:space="0" w:color="auto"/>
              </w:divBdr>
            </w:div>
            <w:div w:id="1518470233">
              <w:marLeft w:val="0"/>
              <w:marRight w:val="0"/>
              <w:marTop w:val="0"/>
              <w:marBottom w:val="0"/>
              <w:divBdr>
                <w:top w:val="none" w:sz="0" w:space="0" w:color="auto"/>
                <w:left w:val="none" w:sz="0" w:space="0" w:color="auto"/>
                <w:bottom w:val="none" w:sz="0" w:space="0" w:color="auto"/>
                <w:right w:val="none" w:sz="0" w:space="0" w:color="auto"/>
              </w:divBdr>
            </w:div>
            <w:div w:id="1148279410">
              <w:marLeft w:val="0"/>
              <w:marRight w:val="0"/>
              <w:marTop w:val="0"/>
              <w:marBottom w:val="0"/>
              <w:divBdr>
                <w:top w:val="none" w:sz="0" w:space="0" w:color="auto"/>
                <w:left w:val="none" w:sz="0" w:space="0" w:color="auto"/>
                <w:bottom w:val="none" w:sz="0" w:space="0" w:color="auto"/>
                <w:right w:val="none" w:sz="0" w:space="0" w:color="auto"/>
              </w:divBdr>
            </w:div>
            <w:div w:id="1832865135">
              <w:marLeft w:val="0"/>
              <w:marRight w:val="0"/>
              <w:marTop w:val="0"/>
              <w:marBottom w:val="0"/>
              <w:divBdr>
                <w:top w:val="none" w:sz="0" w:space="0" w:color="auto"/>
                <w:left w:val="none" w:sz="0" w:space="0" w:color="auto"/>
                <w:bottom w:val="none" w:sz="0" w:space="0" w:color="auto"/>
                <w:right w:val="none" w:sz="0" w:space="0" w:color="auto"/>
              </w:divBdr>
            </w:div>
            <w:div w:id="1181775867">
              <w:marLeft w:val="0"/>
              <w:marRight w:val="0"/>
              <w:marTop w:val="0"/>
              <w:marBottom w:val="0"/>
              <w:divBdr>
                <w:top w:val="none" w:sz="0" w:space="0" w:color="auto"/>
                <w:left w:val="none" w:sz="0" w:space="0" w:color="auto"/>
                <w:bottom w:val="none" w:sz="0" w:space="0" w:color="auto"/>
                <w:right w:val="none" w:sz="0" w:space="0" w:color="auto"/>
              </w:divBdr>
            </w:div>
            <w:div w:id="171650991">
              <w:marLeft w:val="0"/>
              <w:marRight w:val="0"/>
              <w:marTop w:val="0"/>
              <w:marBottom w:val="0"/>
              <w:divBdr>
                <w:top w:val="none" w:sz="0" w:space="0" w:color="auto"/>
                <w:left w:val="none" w:sz="0" w:space="0" w:color="auto"/>
                <w:bottom w:val="none" w:sz="0" w:space="0" w:color="auto"/>
                <w:right w:val="none" w:sz="0" w:space="0" w:color="auto"/>
              </w:divBdr>
            </w:div>
            <w:div w:id="1870412018">
              <w:marLeft w:val="0"/>
              <w:marRight w:val="0"/>
              <w:marTop w:val="0"/>
              <w:marBottom w:val="0"/>
              <w:divBdr>
                <w:top w:val="none" w:sz="0" w:space="0" w:color="auto"/>
                <w:left w:val="none" w:sz="0" w:space="0" w:color="auto"/>
                <w:bottom w:val="none" w:sz="0" w:space="0" w:color="auto"/>
                <w:right w:val="none" w:sz="0" w:space="0" w:color="auto"/>
              </w:divBdr>
            </w:div>
            <w:div w:id="1155491294">
              <w:marLeft w:val="0"/>
              <w:marRight w:val="0"/>
              <w:marTop w:val="0"/>
              <w:marBottom w:val="0"/>
              <w:divBdr>
                <w:top w:val="none" w:sz="0" w:space="0" w:color="auto"/>
                <w:left w:val="none" w:sz="0" w:space="0" w:color="auto"/>
                <w:bottom w:val="none" w:sz="0" w:space="0" w:color="auto"/>
                <w:right w:val="none" w:sz="0" w:space="0" w:color="auto"/>
              </w:divBdr>
            </w:div>
            <w:div w:id="665472740">
              <w:marLeft w:val="0"/>
              <w:marRight w:val="0"/>
              <w:marTop w:val="0"/>
              <w:marBottom w:val="0"/>
              <w:divBdr>
                <w:top w:val="none" w:sz="0" w:space="0" w:color="auto"/>
                <w:left w:val="none" w:sz="0" w:space="0" w:color="auto"/>
                <w:bottom w:val="none" w:sz="0" w:space="0" w:color="auto"/>
                <w:right w:val="none" w:sz="0" w:space="0" w:color="auto"/>
              </w:divBdr>
            </w:div>
            <w:div w:id="504974442">
              <w:marLeft w:val="0"/>
              <w:marRight w:val="0"/>
              <w:marTop w:val="0"/>
              <w:marBottom w:val="0"/>
              <w:divBdr>
                <w:top w:val="none" w:sz="0" w:space="0" w:color="auto"/>
                <w:left w:val="none" w:sz="0" w:space="0" w:color="auto"/>
                <w:bottom w:val="none" w:sz="0" w:space="0" w:color="auto"/>
                <w:right w:val="none" w:sz="0" w:space="0" w:color="auto"/>
              </w:divBdr>
            </w:div>
            <w:div w:id="232543484">
              <w:marLeft w:val="0"/>
              <w:marRight w:val="0"/>
              <w:marTop w:val="0"/>
              <w:marBottom w:val="0"/>
              <w:divBdr>
                <w:top w:val="none" w:sz="0" w:space="0" w:color="auto"/>
                <w:left w:val="none" w:sz="0" w:space="0" w:color="auto"/>
                <w:bottom w:val="none" w:sz="0" w:space="0" w:color="auto"/>
                <w:right w:val="none" w:sz="0" w:space="0" w:color="auto"/>
              </w:divBdr>
            </w:div>
            <w:div w:id="1855804554">
              <w:marLeft w:val="0"/>
              <w:marRight w:val="0"/>
              <w:marTop w:val="0"/>
              <w:marBottom w:val="0"/>
              <w:divBdr>
                <w:top w:val="none" w:sz="0" w:space="0" w:color="auto"/>
                <w:left w:val="none" w:sz="0" w:space="0" w:color="auto"/>
                <w:bottom w:val="none" w:sz="0" w:space="0" w:color="auto"/>
                <w:right w:val="none" w:sz="0" w:space="0" w:color="auto"/>
              </w:divBdr>
            </w:div>
            <w:div w:id="1443838094">
              <w:marLeft w:val="0"/>
              <w:marRight w:val="0"/>
              <w:marTop w:val="0"/>
              <w:marBottom w:val="0"/>
              <w:divBdr>
                <w:top w:val="none" w:sz="0" w:space="0" w:color="auto"/>
                <w:left w:val="none" w:sz="0" w:space="0" w:color="auto"/>
                <w:bottom w:val="none" w:sz="0" w:space="0" w:color="auto"/>
                <w:right w:val="none" w:sz="0" w:space="0" w:color="auto"/>
              </w:divBdr>
            </w:div>
            <w:div w:id="796684793">
              <w:marLeft w:val="0"/>
              <w:marRight w:val="0"/>
              <w:marTop w:val="0"/>
              <w:marBottom w:val="0"/>
              <w:divBdr>
                <w:top w:val="none" w:sz="0" w:space="0" w:color="auto"/>
                <w:left w:val="none" w:sz="0" w:space="0" w:color="auto"/>
                <w:bottom w:val="none" w:sz="0" w:space="0" w:color="auto"/>
                <w:right w:val="none" w:sz="0" w:space="0" w:color="auto"/>
              </w:divBdr>
            </w:div>
            <w:div w:id="2002805485">
              <w:marLeft w:val="0"/>
              <w:marRight w:val="0"/>
              <w:marTop w:val="0"/>
              <w:marBottom w:val="0"/>
              <w:divBdr>
                <w:top w:val="none" w:sz="0" w:space="0" w:color="auto"/>
                <w:left w:val="none" w:sz="0" w:space="0" w:color="auto"/>
                <w:bottom w:val="none" w:sz="0" w:space="0" w:color="auto"/>
                <w:right w:val="none" w:sz="0" w:space="0" w:color="auto"/>
              </w:divBdr>
            </w:div>
            <w:div w:id="1449203674">
              <w:marLeft w:val="0"/>
              <w:marRight w:val="0"/>
              <w:marTop w:val="0"/>
              <w:marBottom w:val="0"/>
              <w:divBdr>
                <w:top w:val="none" w:sz="0" w:space="0" w:color="auto"/>
                <w:left w:val="none" w:sz="0" w:space="0" w:color="auto"/>
                <w:bottom w:val="none" w:sz="0" w:space="0" w:color="auto"/>
                <w:right w:val="none" w:sz="0" w:space="0" w:color="auto"/>
              </w:divBdr>
            </w:div>
            <w:div w:id="609316690">
              <w:marLeft w:val="0"/>
              <w:marRight w:val="0"/>
              <w:marTop w:val="0"/>
              <w:marBottom w:val="0"/>
              <w:divBdr>
                <w:top w:val="none" w:sz="0" w:space="0" w:color="auto"/>
                <w:left w:val="none" w:sz="0" w:space="0" w:color="auto"/>
                <w:bottom w:val="none" w:sz="0" w:space="0" w:color="auto"/>
                <w:right w:val="none" w:sz="0" w:space="0" w:color="auto"/>
              </w:divBdr>
            </w:div>
            <w:div w:id="893585195">
              <w:marLeft w:val="0"/>
              <w:marRight w:val="0"/>
              <w:marTop w:val="0"/>
              <w:marBottom w:val="0"/>
              <w:divBdr>
                <w:top w:val="none" w:sz="0" w:space="0" w:color="auto"/>
                <w:left w:val="none" w:sz="0" w:space="0" w:color="auto"/>
                <w:bottom w:val="none" w:sz="0" w:space="0" w:color="auto"/>
                <w:right w:val="none" w:sz="0" w:space="0" w:color="auto"/>
              </w:divBdr>
            </w:div>
            <w:div w:id="2091152449">
              <w:marLeft w:val="0"/>
              <w:marRight w:val="0"/>
              <w:marTop w:val="0"/>
              <w:marBottom w:val="0"/>
              <w:divBdr>
                <w:top w:val="none" w:sz="0" w:space="0" w:color="auto"/>
                <w:left w:val="none" w:sz="0" w:space="0" w:color="auto"/>
                <w:bottom w:val="none" w:sz="0" w:space="0" w:color="auto"/>
                <w:right w:val="none" w:sz="0" w:space="0" w:color="auto"/>
              </w:divBdr>
            </w:div>
            <w:div w:id="2112554295">
              <w:marLeft w:val="0"/>
              <w:marRight w:val="0"/>
              <w:marTop w:val="0"/>
              <w:marBottom w:val="0"/>
              <w:divBdr>
                <w:top w:val="none" w:sz="0" w:space="0" w:color="auto"/>
                <w:left w:val="none" w:sz="0" w:space="0" w:color="auto"/>
                <w:bottom w:val="none" w:sz="0" w:space="0" w:color="auto"/>
                <w:right w:val="none" w:sz="0" w:space="0" w:color="auto"/>
              </w:divBdr>
            </w:div>
            <w:div w:id="704258204">
              <w:marLeft w:val="0"/>
              <w:marRight w:val="0"/>
              <w:marTop w:val="0"/>
              <w:marBottom w:val="0"/>
              <w:divBdr>
                <w:top w:val="none" w:sz="0" w:space="0" w:color="auto"/>
                <w:left w:val="none" w:sz="0" w:space="0" w:color="auto"/>
                <w:bottom w:val="none" w:sz="0" w:space="0" w:color="auto"/>
                <w:right w:val="none" w:sz="0" w:space="0" w:color="auto"/>
              </w:divBdr>
            </w:div>
            <w:div w:id="239215060">
              <w:marLeft w:val="0"/>
              <w:marRight w:val="0"/>
              <w:marTop w:val="0"/>
              <w:marBottom w:val="0"/>
              <w:divBdr>
                <w:top w:val="none" w:sz="0" w:space="0" w:color="auto"/>
                <w:left w:val="none" w:sz="0" w:space="0" w:color="auto"/>
                <w:bottom w:val="none" w:sz="0" w:space="0" w:color="auto"/>
                <w:right w:val="none" w:sz="0" w:space="0" w:color="auto"/>
              </w:divBdr>
            </w:div>
            <w:div w:id="1588885236">
              <w:marLeft w:val="0"/>
              <w:marRight w:val="0"/>
              <w:marTop w:val="0"/>
              <w:marBottom w:val="0"/>
              <w:divBdr>
                <w:top w:val="none" w:sz="0" w:space="0" w:color="auto"/>
                <w:left w:val="none" w:sz="0" w:space="0" w:color="auto"/>
                <w:bottom w:val="none" w:sz="0" w:space="0" w:color="auto"/>
                <w:right w:val="none" w:sz="0" w:space="0" w:color="auto"/>
              </w:divBdr>
            </w:div>
            <w:div w:id="129397557">
              <w:marLeft w:val="0"/>
              <w:marRight w:val="0"/>
              <w:marTop w:val="0"/>
              <w:marBottom w:val="0"/>
              <w:divBdr>
                <w:top w:val="none" w:sz="0" w:space="0" w:color="auto"/>
                <w:left w:val="none" w:sz="0" w:space="0" w:color="auto"/>
                <w:bottom w:val="none" w:sz="0" w:space="0" w:color="auto"/>
                <w:right w:val="none" w:sz="0" w:space="0" w:color="auto"/>
              </w:divBdr>
            </w:div>
            <w:div w:id="1639605871">
              <w:marLeft w:val="0"/>
              <w:marRight w:val="0"/>
              <w:marTop w:val="0"/>
              <w:marBottom w:val="0"/>
              <w:divBdr>
                <w:top w:val="none" w:sz="0" w:space="0" w:color="auto"/>
                <w:left w:val="none" w:sz="0" w:space="0" w:color="auto"/>
                <w:bottom w:val="none" w:sz="0" w:space="0" w:color="auto"/>
                <w:right w:val="none" w:sz="0" w:space="0" w:color="auto"/>
              </w:divBdr>
            </w:div>
            <w:div w:id="1430346216">
              <w:marLeft w:val="0"/>
              <w:marRight w:val="0"/>
              <w:marTop w:val="0"/>
              <w:marBottom w:val="0"/>
              <w:divBdr>
                <w:top w:val="none" w:sz="0" w:space="0" w:color="auto"/>
                <w:left w:val="none" w:sz="0" w:space="0" w:color="auto"/>
                <w:bottom w:val="none" w:sz="0" w:space="0" w:color="auto"/>
                <w:right w:val="none" w:sz="0" w:space="0" w:color="auto"/>
              </w:divBdr>
            </w:div>
            <w:div w:id="713962858">
              <w:marLeft w:val="0"/>
              <w:marRight w:val="0"/>
              <w:marTop w:val="0"/>
              <w:marBottom w:val="0"/>
              <w:divBdr>
                <w:top w:val="none" w:sz="0" w:space="0" w:color="auto"/>
                <w:left w:val="none" w:sz="0" w:space="0" w:color="auto"/>
                <w:bottom w:val="none" w:sz="0" w:space="0" w:color="auto"/>
                <w:right w:val="none" w:sz="0" w:space="0" w:color="auto"/>
              </w:divBdr>
            </w:div>
            <w:div w:id="1306472431">
              <w:marLeft w:val="0"/>
              <w:marRight w:val="0"/>
              <w:marTop w:val="0"/>
              <w:marBottom w:val="0"/>
              <w:divBdr>
                <w:top w:val="none" w:sz="0" w:space="0" w:color="auto"/>
                <w:left w:val="none" w:sz="0" w:space="0" w:color="auto"/>
                <w:bottom w:val="none" w:sz="0" w:space="0" w:color="auto"/>
                <w:right w:val="none" w:sz="0" w:space="0" w:color="auto"/>
              </w:divBdr>
            </w:div>
            <w:div w:id="1895238315">
              <w:marLeft w:val="0"/>
              <w:marRight w:val="0"/>
              <w:marTop w:val="0"/>
              <w:marBottom w:val="0"/>
              <w:divBdr>
                <w:top w:val="none" w:sz="0" w:space="0" w:color="auto"/>
                <w:left w:val="none" w:sz="0" w:space="0" w:color="auto"/>
                <w:bottom w:val="none" w:sz="0" w:space="0" w:color="auto"/>
                <w:right w:val="none" w:sz="0" w:space="0" w:color="auto"/>
              </w:divBdr>
            </w:div>
            <w:div w:id="1603566734">
              <w:marLeft w:val="0"/>
              <w:marRight w:val="0"/>
              <w:marTop w:val="0"/>
              <w:marBottom w:val="0"/>
              <w:divBdr>
                <w:top w:val="none" w:sz="0" w:space="0" w:color="auto"/>
                <w:left w:val="none" w:sz="0" w:space="0" w:color="auto"/>
                <w:bottom w:val="none" w:sz="0" w:space="0" w:color="auto"/>
                <w:right w:val="none" w:sz="0" w:space="0" w:color="auto"/>
              </w:divBdr>
            </w:div>
            <w:div w:id="163665583">
              <w:marLeft w:val="0"/>
              <w:marRight w:val="0"/>
              <w:marTop w:val="0"/>
              <w:marBottom w:val="0"/>
              <w:divBdr>
                <w:top w:val="none" w:sz="0" w:space="0" w:color="auto"/>
                <w:left w:val="none" w:sz="0" w:space="0" w:color="auto"/>
                <w:bottom w:val="none" w:sz="0" w:space="0" w:color="auto"/>
                <w:right w:val="none" w:sz="0" w:space="0" w:color="auto"/>
              </w:divBdr>
            </w:div>
            <w:div w:id="653795398">
              <w:marLeft w:val="0"/>
              <w:marRight w:val="0"/>
              <w:marTop w:val="0"/>
              <w:marBottom w:val="0"/>
              <w:divBdr>
                <w:top w:val="none" w:sz="0" w:space="0" w:color="auto"/>
                <w:left w:val="none" w:sz="0" w:space="0" w:color="auto"/>
                <w:bottom w:val="none" w:sz="0" w:space="0" w:color="auto"/>
                <w:right w:val="none" w:sz="0" w:space="0" w:color="auto"/>
              </w:divBdr>
            </w:div>
            <w:div w:id="570164238">
              <w:marLeft w:val="0"/>
              <w:marRight w:val="0"/>
              <w:marTop w:val="0"/>
              <w:marBottom w:val="0"/>
              <w:divBdr>
                <w:top w:val="none" w:sz="0" w:space="0" w:color="auto"/>
                <w:left w:val="none" w:sz="0" w:space="0" w:color="auto"/>
                <w:bottom w:val="none" w:sz="0" w:space="0" w:color="auto"/>
                <w:right w:val="none" w:sz="0" w:space="0" w:color="auto"/>
              </w:divBdr>
            </w:div>
            <w:div w:id="624893416">
              <w:marLeft w:val="0"/>
              <w:marRight w:val="0"/>
              <w:marTop w:val="0"/>
              <w:marBottom w:val="0"/>
              <w:divBdr>
                <w:top w:val="none" w:sz="0" w:space="0" w:color="auto"/>
                <w:left w:val="none" w:sz="0" w:space="0" w:color="auto"/>
                <w:bottom w:val="none" w:sz="0" w:space="0" w:color="auto"/>
                <w:right w:val="none" w:sz="0" w:space="0" w:color="auto"/>
              </w:divBdr>
            </w:div>
            <w:div w:id="1261992136">
              <w:marLeft w:val="0"/>
              <w:marRight w:val="0"/>
              <w:marTop w:val="0"/>
              <w:marBottom w:val="0"/>
              <w:divBdr>
                <w:top w:val="none" w:sz="0" w:space="0" w:color="auto"/>
                <w:left w:val="none" w:sz="0" w:space="0" w:color="auto"/>
                <w:bottom w:val="none" w:sz="0" w:space="0" w:color="auto"/>
                <w:right w:val="none" w:sz="0" w:space="0" w:color="auto"/>
              </w:divBdr>
            </w:div>
            <w:div w:id="1025447055">
              <w:marLeft w:val="0"/>
              <w:marRight w:val="0"/>
              <w:marTop w:val="0"/>
              <w:marBottom w:val="0"/>
              <w:divBdr>
                <w:top w:val="none" w:sz="0" w:space="0" w:color="auto"/>
                <w:left w:val="none" w:sz="0" w:space="0" w:color="auto"/>
                <w:bottom w:val="none" w:sz="0" w:space="0" w:color="auto"/>
                <w:right w:val="none" w:sz="0" w:space="0" w:color="auto"/>
              </w:divBdr>
            </w:div>
            <w:div w:id="1005480372">
              <w:marLeft w:val="0"/>
              <w:marRight w:val="0"/>
              <w:marTop w:val="0"/>
              <w:marBottom w:val="0"/>
              <w:divBdr>
                <w:top w:val="none" w:sz="0" w:space="0" w:color="auto"/>
                <w:left w:val="none" w:sz="0" w:space="0" w:color="auto"/>
                <w:bottom w:val="none" w:sz="0" w:space="0" w:color="auto"/>
                <w:right w:val="none" w:sz="0" w:space="0" w:color="auto"/>
              </w:divBdr>
            </w:div>
            <w:div w:id="927811964">
              <w:marLeft w:val="0"/>
              <w:marRight w:val="0"/>
              <w:marTop w:val="0"/>
              <w:marBottom w:val="0"/>
              <w:divBdr>
                <w:top w:val="none" w:sz="0" w:space="0" w:color="auto"/>
                <w:left w:val="none" w:sz="0" w:space="0" w:color="auto"/>
                <w:bottom w:val="none" w:sz="0" w:space="0" w:color="auto"/>
                <w:right w:val="none" w:sz="0" w:space="0" w:color="auto"/>
              </w:divBdr>
            </w:div>
            <w:div w:id="1191917031">
              <w:marLeft w:val="0"/>
              <w:marRight w:val="0"/>
              <w:marTop w:val="0"/>
              <w:marBottom w:val="0"/>
              <w:divBdr>
                <w:top w:val="none" w:sz="0" w:space="0" w:color="auto"/>
                <w:left w:val="none" w:sz="0" w:space="0" w:color="auto"/>
                <w:bottom w:val="none" w:sz="0" w:space="0" w:color="auto"/>
                <w:right w:val="none" w:sz="0" w:space="0" w:color="auto"/>
              </w:divBdr>
            </w:div>
            <w:div w:id="2131388334">
              <w:marLeft w:val="0"/>
              <w:marRight w:val="0"/>
              <w:marTop w:val="0"/>
              <w:marBottom w:val="0"/>
              <w:divBdr>
                <w:top w:val="none" w:sz="0" w:space="0" w:color="auto"/>
                <w:left w:val="none" w:sz="0" w:space="0" w:color="auto"/>
                <w:bottom w:val="none" w:sz="0" w:space="0" w:color="auto"/>
                <w:right w:val="none" w:sz="0" w:space="0" w:color="auto"/>
              </w:divBdr>
            </w:div>
            <w:div w:id="910652694">
              <w:marLeft w:val="0"/>
              <w:marRight w:val="0"/>
              <w:marTop w:val="0"/>
              <w:marBottom w:val="0"/>
              <w:divBdr>
                <w:top w:val="none" w:sz="0" w:space="0" w:color="auto"/>
                <w:left w:val="none" w:sz="0" w:space="0" w:color="auto"/>
                <w:bottom w:val="none" w:sz="0" w:space="0" w:color="auto"/>
                <w:right w:val="none" w:sz="0" w:space="0" w:color="auto"/>
              </w:divBdr>
            </w:div>
            <w:div w:id="131557609">
              <w:marLeft w:val="0"/>
              <w:marRight w:val="0"/>
              <w:marTop w:val="0"/>
              <w:marBottom w:val="0"/>
              <w:divBdr>
                <w:top w:val="none" w:sz="0" w:space="0" w:color="auto"/>
                <w:left w:val="none" w:sz="0" w:space="0" w:color="auto"/>
                <w:bottom w:val="none" w:sz="0" w:space="0" w:color="auto"/>
                <w:right w:val="none" w:sz="0" w:space="0" w:color="auto"/>
              </w:divBdr>
            </w:div>
            <w:div w:id="1482035680">
              <w:marLeft w:val="0"/>
              <w:marRight w:val="0"/>
              <w:marTop w:val="0"/>
              <w:marBottom w:val="0"/>
              <w:divBdr>
                <w:top w:val="none" w:sz="0" w:space="0" w:color="auto"/>
                <w:left w:val="none" w:sz="0" w:space="0" w:color="auto"/>
                <w:bottom w:val="none" w:sz="0" w:space="0" w:color="auto"/>
                <w:right w:val="none" w:sz="0" w:space="0" w:color="auto"/>
              </w:divBdr>
            </w:div>
            <w:div w:id="1265843137">
              <w:marLeft w:val="0"/>
              <w:marRight w:val="0"/>
              <w:marTop w:val="0"/>
              <w:marBottom w:val="0"/>
              <w:divBdr>
                <w:top w:val="none" w:sz="0" w:space="0" w:color="auto"/>
                <w:left w:val="none" w:sz="0" w:space="0" w:color="auto"/>
                <w:bottom w:val="none" w:sz="0" w:space="0" w:color="auto"/>
                <w:right w:val="none" w:sz="0" w:space="0" w:color="auto"/>
              </w:divBdr>
            </w:div>
            <w:div w:id="2074308107">
              <w:marLeft w:val="0"/>
              <w:marRight w:val="0"/>
              <w:marTop w:val="0"/>
              <w:marBottom w:val="0"/>
              <w:divBdr>
                <w:top w:val="none" w:sz="0" w:space="0" w:color="auto"/>
                <w:left w:val="none" w:sz="0" w:space="0" w:color="auto"/>
                <w:bottom w:val="none" w:sz="0" w:space="0" w:color="auto"/>
                <w:right w:val="none" w:sz="0" w:space="0" w:color="auto"/>
              </w:divBdr>
            </w:div>
            <w:div w:id="1183470912">
              <w:marLeft w:val="0"/>
              <w:marRight w:val="0"/>
              <w:marTop w:val="0"/>
              <w:marBottom w:val="0"/>
              <w:divBdr>
                <w:top w:val="none" w:sz="0" w:space="0" w:color="auto"/>
                <w:left w:val="none" w:sz="0" w:space="0" w:color="auto"/>
                <w:bottom w:val="none" w:sz="0" w:space="0" w:color="auto"/>
                <w:right w:val="none" w:sz="0" w:space="0" w:color="auto"/>
              </w:divBdr>
            </w:div>
            <w:div w:id="300035448">
              <w:marLeft w:val="0"/>
              <w:marRight w:val="0"/>
              <w:marTop w:val="0"/>
              <w:marBottom w:val="0"/>
              <w:divBdr>
                <w:top w:val="none" w:sz="0" w:space="0" w:color="auto"/>
                <w:left w:val="none" w:sz="0" w:space="0" w:color="auto"/>
                <w:bottom w:val="none" w:sz="0" w:space="0" w:color="auto"/>
                <w:right w:val="none" w:sz="0" w:space="0" w:color="auto"/>
              </w:divBdr>
            </w:div>
            <w:div w:id="1837646409">
              <w:marLeft w:val="0"/>
              <w:marRight w:val="0"/>
              <w:marTop w:val="0"/>
              <w:marBottom w:val="0"/>
              <w:divBdr>
                <w:top w:val="none" w:sz="0" w:space="0" w:color="auto"/>
                <w:left w:val="none" w:sz="0" w:space="0" w:color="auto"/>
                <w:bottom w:val="none" w:sz="0" w:space="0" w:color="auto"/>
                <w:right w:val="none" w:sz="0" w:space="0" w:color="auto"/>
              </w:divBdr>
            </w:div>
            <w:div w:id="244342704">
              <w:marLeft w:val="0"/>
              <w:marRight w:val="0"/>
              <w:marTop w:val="0"/>
              <w:marBottom w:val="0"/>
              <w:divBdr>
                <w:top w:val="none" w:sz="0" w:space="0" w:color="auto"/>
                <w:left w:val="none" w:sz="0" w:space="0" w:color="auto"/>
                <w:bottom w:val="none" w:sz="0" w:space="0" w:color="auto"/>
                <w:right w:val="none" w:sz="0" w:space="0" w:color="auto"/>
              </w:divBdr>
            </w:div>
            <w:div w:id="408506984">
              <w:marLeft w:val="0"/>
              <w:marRight w:val="0"/>
              <w:marTop w:val="0"/>
              <w:marBottom w:val="0"/>
              <w:divBdr>
                <w:top w:val="none" w:sz="0" w:space="0" w:color="auto"/>
                <w:left w:val="none" w:sz="0" w:space="0" w:color="auto"/>
                <w:bottom w:val="none" w:sz="0" w:space="0" w:color="auto"/>
                <w:right w:val="none" w:sz="0" w:space="0" w:color="auto"/>
              </w:divBdr>
            </w:div>
            <w:div w:id="2061241996">
              <w:marLeft w:val="0"/>
              <w:marRight w:val="0"/>
              <w:marTop w:val="0"/>
              <w:marBottom w:val="0"/>
              <w:divBdr>
                <w:top w:val="none" w:sz="0" w:space="0" w:color="auto"/>
                <w:left w:val="none" w:sz="0" w:space="0" w:color="auto"/>
                <w:bottom w:val="none" w:sz="0" w:space="0" w:color="auto"/>
                <w:right w:val="none" w:sz="0" w:space="0" w:color="auto"/>
              </w:divBdr>
            </w:div>
            <w:div w:id="518129581">
              <w:marLeft w:val="0"/>
              <w:marRight w:val="0"/>
              <w:marTop w:val="0"/>
              <w:marBottom w:val="0"/>
              <w:divBdr>
                <w:top w:val="none" w:sz="0" w:space="0" w:color="auto"/>
                <w:left w:val="none" w:sz="0" w:space="0" w:color="auto"/>
                <w:bottom w:val="none" w:sz="0" w:space="0" w:color="auto"/>
                <w:right w:val="none" w:sz="0" w:space="0" w:color="auto"/>
              </w:divBdr>
            </w:div>
            <w:div w:id="2132506133">
              <w:marLeft w:val="0"/>
              <w:marRight w:val="0"/>
              <w:marTop w:val="0"/>
              <w:marBottom w:val="0"/>
              <w:divBdr>
                <w:top w:val="none" w:sz="0" w:space="0" w:color="auto"/>
                <w:left w:val="none" w:sz="0" w:space="0" w:color="auto"/>
                <w:bottom w:val="none" w:sz="0" w:space="0" w:color="auto"/>
                <w:right w:val="none" w:sz="0" w:space="0" w:color="auto"/>
              </w:divBdr>
            </w:div>
            <w:div w:id="831021636">
              <w:marLeft w:val="0"/>
              <w:marRight w:val="0"/>
              <w:marTop w:val="0"/>
              <w:marBottom w:val="0"/>
              <w:divBdr>
                <w:top w:val="none" w:sz="0" w:space="0" w:color="auto"/>
                <w:left w:val="none" w:sz="0" w:space="0" w:color="auto"/>
                <w:bottom w:val="none" w:sz="0" w:space="0" w:color="auto"/>
                <w:right w:val="none" w:sz="0" w:space="0" w:color="auto"/>
              </w:divBdr>
            </w:div>
            <w:div w:id="1606426794">
              <w:marLeft w:val="0"/>
              <w:marRight w:val="0"/>
              <w:marTop w:val="0"/>
              <w:marBottom w:val="0"/>
              <w:divBdr>
                <w:top w:val="none" w:sz="0" w:space="0" w:color="auto"/>
                <w:left w:val="none" w:sz="0" w:space="0" w:color="auto"/>
                <w:bottom w:val="none" w:sz="0" w:space="0" w:color="auto"/>
                <w:right w:val="none" w:sz="0" w:space="0" w:color="auto"/>
              </w:divBdr>
            </w:div>
            <w:div w:id="792282977">
              <w:marLeft w:val="0"/>
              <w:marRight w:val="0"/>
              <w:marTop w:val="0"/>
              <w:marBottom w:val="0"/>
              <w:divBdr>
                <w:top w:val="none" w:sz="0" w:space="0" w:color="auto"/>
                <w:left w:val="none" w:sz="0" w:space="0" w:color="auto"/>
                <w:bottom w:val="none" w:sz="0" w:space="0" w:color="auto"/>
                <w:right w:val="none" w:sz="0" w:space="0" w:color="auto"/>
              </w:divBdr>
            </w:div>
            <w:div w:id="1869250264">
              <w:marLeft w:val="0"/>
              <w:marRight w:val="0"/>
              <w:marTop w:val="0"/>
              <w:marBottom w:val="0"/>
              <w:divBdr>
                <w:top w:val="none" w:sz="0" w:space="0" w:color="auto"/>
                <w:left w:val="none" w:sz="0" w:space="0" w:color="auto"/>
                <w:bottom w:val="none" w:sz="0" w:space="0" w:color="auto"/>
                <w:right w:val="none" w:sz="0" w:space="0" w:color="auto"/>
              </w:divBdr>
            </w:div>
            <w:div w:id="1659963970">
              <w:marLeft w:val="0"/>
              <w:marRight w:val="0"/>
              <w:marTop w:val="0"/>
              <w:marBottom w:val="0"/>
              <w:divBdr>
                <w:top w:val="none" w:sz="0" w:space="0" w:color="auto"/>
                <w:left w:val="none" w:sz="0" w:space="0" w:color="auto"/>
                <w:bottom w:val="none" w:sz="0" w:space="0" w:color="auto"/>
                <w:right w:val="none" w:sz="0" w:space="0" w:color="auto"/>
              </w:divBdr>
            </w:div>
            <w:div w:id="575743204">
              <w:marLeft w:val="0"/>
              <w:marRight w:val="0"/>
              <w:marTop w:val="0"/>
              <w:marBottom w:val="0"/>
              <w:divBdr>
                <w:top w:val="none" w:sz="0" w:space="0" w:color="auto"/>
                <w:left w:val="none" w:sz="0" w:space="0" w:color="auto"/>
                <w:bottom w:val="none" w:sz="0" w:space="0" w:color="auto"/>
                <w:right w:val="none" w:sz="0" w:space="0" w:color="auto"/>
              </w:divBdr>
            </w:div>
            <w:div w:id="1411926520">
              <w:marLeft w:val="0"/>
              <w:marRight w:val="0"/>
              <w:marTop w:val="0"/>
              <w:marBottom w:val="0"/>
              <w:divBdr>
                <w:top w:val="none" w:sz="0" w:space="0" w:color="auto"/>
                <w:left w:val="none" w:sz="0" w:space="0" w:color="auto"/>
                <w:bottom w:val="none" w:sz="0" w:space="0" w:color="auto"/>
                <w:right w:val="none" w:sz="0" w:space="0" w:color="auto"/>
              </w:divBdr>
            </w:div>
            <w:div w:id="1452431745">
              <w:marLeft w:val="0"/>
              <w:marRight w:val="0"/>
              <w:marTop w:val="0"/>
              <w:marBottom w:val="0"/>
              <w:divBdr>
                <w:top w:val="none" w:sz="0" w:space="0" w:color="auto"/>
                <w:left w:val="none" w:sz="0" w:space="0" w:color="auto"/>
                <w:bottom w:val="none" w:sz="0" w:space="0" w:color="auto"/>
                <w:right w:val="none" w:sz="0" w:space="0" w:color="auto"/>
              </w:divBdr>
            </w:div>
            <w:div w:id="1595936574">
              <w:marLeft w:val="0"/>
              <w:marRight w:val="0"/>
              <w:marTop w:val="0"/>
              <w:marBottom w:val="0"/>
              <w:divBdr>
                <w:top w:val="none" w:sz="0" w:space="0" w:color="auto"/>
                <w:left w:val="none" w:sz="0" w:space="0" w:color="auto"/>
                <w:bottom w:val="none" w:sz="0" w:space="0" w:color="auto"/>
                <w:right w:val="none" w:sz="0" w:space="0" w:color="auto"/>
              </w:divBdr>
            </w:div>
            <w:div w:id="919174629">
              <w:marLeft w:val="0"/>
              <w:marRight w:val="0"/>
              <w:marTop w:val="0"/>
              <w:marBottom w:val="0"/>
              <w:divBdr>
                <w:top w:val="none" w:sz="0" w:space="0" w:color="auto"/>
                <w:left w:val="none" w:sz="0" w:space="0" w:color="auto"/>
                <w:bottom w:val="none" w:sz="0" w:space="0" w:color="auto"/>
                <w:right w:val="none" w:sz="0" w:space="0" w:color="auto"/>
              </w:divBdr>
            </w:div>
            <w:div w:id="1523782642">
              <w:marLeft w:val="0"/>
              <w:marRight w:val="0"/>
              <w:marTop w:val="0"/>
              <w:marBottom w:val="0"/>
              <w:divBdr>
                <w:top w:val="none" w:sz="0" w:space="0" w:color="auto"/>
                <w:left w:val="none" w:sz="0" w:space="0" w:color="auto"/>
                <w:bottom w:val="none" w:sz="0" w:space="0" w:color="auto"/>
                <w:right w:val="none" w:sz="0" w:space="0" w:color="auto"/>
              </w:divBdr>
            </w:div>
            <w:div w:id="839546563">
              <w:marLeft w:val="0"/>
              <w:marRight w:val="0"/>
              <w:marTop w:val="0"/>
              <w:marBottom w:val="0"/>
              <w:divBdr>
                <w:top w:val="none" w:sz="0" w:space="0" w:color="auto"/>
                <w:left w:val="none" w:sz="0" w:space="0" w:color="auto"/>
                <w:bottom w:val="none" w:sz="0" w:space="0" w:color="auto"/>
                <w:right w:val="none" w:sz="0" w:space="0" w:color="auto"/>
              </w:divBdr>
            </w:div>
            <w:div w:id="1021661071">
              <w:marLeft w:val="0"/>
              <w:marRight w:val="0"/>
              <w:marTop w:val="0"/>
              <w:marBottom w:val="0"/>
              <w:divBdr>
                <w:top w:val="none" w:sz="0" w:space="0" w:color="auto"/>
                <w:left w:val="none" w:sz="0" w:space="0" w:color="auto"/>
                <w:bottom w:val="none" w:sz="0" w:space="0" w:color="auto"/>
                <w:right w:val="none" w:sz="0" w:space="0" w:color="auto"/>
              </w:divBdr>
            </w:div>
            <w:div w:id="884370062">
              <w:marLeft w:val="0"/>
              <w:marRight w:val="0"/>
              <w:marTop w:val="0"/>
              <w:marBottom w:val="0"/>
              <w:divBdr>
                <w:top w:val="none" w:sz="0" w:space="0" w:color="auto"/>
                <w:left w:val="none" w:sz="0" w:space="0" w:color="auto"/>
                <w:bottom w:val="none" w:sz="0" w:space="0" w:color="auto"/>
                <w:right w:val="none" w:sz="0" w:space="0" w:color="auto"/>
              </w:divBdr>
            </w:div>
            <w:div w:id="31997454">
              <w:marLeft w:val="0"/>
              <w:marRight w:val="0"/>
              <w:marTop w:val="0"/>
              <w:marBottom w:val="0"/>
              <w:divBdr>
                <w:top w:val="none" w:sz="0" w:space="0" w:color="auto"/>
                <w:left w:val="none" w:sz="0" w:space="0" w:color="auto"/>
                <w:bottom w:val="none" w:sz="0" w:space="0" w:color="auto"/>
                <w:right w:val="none" w:sz="0" w:space="0" w:color="auto"/>
              </w:divBdr>
            </w:div>
            <w:div w:id="671227977">
              <w:marLeft w:val="0"/>
              <w:marRight w:val="0"/>
              <w:marTop w:val="0"/>
              <w:marBottom w:val="0"/>
              <w:divBdr>
                <w:top w:val="none" w:sz="0" w:space="0" w:color="auto"/>
                <w:left w:val="none" w:sz="0" w:space="0" w:color="auto"/>
                <w:bottom w:val="none" w:sz="0" w:space="0" w:color="auto"/>
                <w:right w:val="none" w:sz="0" w:space="0" w:color="auto"/>
              </w:divBdr>
            </w:div>
            <w:div w:id="402528237">
              <w:marLeft w:val="0"/>
              <w:marRight w:val="0"/>
              <w:marTop w:val="0"/>
              <w:marBottom w:val="0"/>
              <w:divBdr>
                <w:top w:val="none" w:sz="0" w:space="0" w:color="auto"/>
                <w:left w:val="none" w:sz="0" w:space="0" w:color="auto"/>
                <w:bottom w:val="none" w:sz="0" w:space="0" w:color="auto"/>
                <w:right w:val="none" w:sz="0" w:space="0" w:color="auto"/>
              </w:divBdr>
            </w:div>
            <w:div w:id="2055347577">
              <w:marLeft w:val="0"/>
              <w:marRight w:val="0"/>
              <w:marTop w:val="0"/>
              <w:marBottom w:val="0"/>
              <w:divBdr>
                <w:top w:val="none" w:sz="0" w:space="0" w:color="auto"/>
                <w:left w:val="none" w:sz="0" w:space="0" w:color="auto"/>
                <w:bottom w:val="none" w:sz="0" w:space="0" w:color="auto"/>
                <w:right w:val="none" w:sz="0" w:space="0" w:color="auto"/>
              </w:divBdr>
            </w:div>
            <w:div w:id="967249392">
              <w:marLeft w:val="0"/>
              <w:marRight w:val="0"/>
              <w:marTop w:val="0"/>
              <w:marBottom w:val="0"/>
              <w:divBdr>
                <w:top w:val="none" w:sz="0" w:space="0" w:color="auto"/>
                <w:left w:val="none" w:sz="0" w:space="0" w:color="auto"/>
                <w:bottom w:val="none" w:sz="0" w:space="0" w:color="auto"/>
                <w:right w:val="none" w:sz="0" w:space="0" w:color="auto"/>
              </w:divBdr>
            </w:div>
            <w:div w:id="909458952">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64911638">
              <w:marLeft w:val="0"/>
              <w:marRight w:val="0"/>
              <w:marTop w:val="0"/>
              <w:marBottom w:val="0"/>
              <w:divBdr>
                <w:top w:val="none" w:sz="0" w:space="0" w:color="auto"/>
                <w:left w:val="none" w:sz="0" w:space="0" w:color="auto"/>
                <w:bottom w:val="none" w:sz="0" w:space="0" w:color="auto"/>
                <w:right w:val="none" w:sz="0" w:space="0" w:color="auto"/>
              </w:divBdr>
            </w:div>
            <w:div w:id="1774129370">
              <w:marLeft w:val="0"/>
              <w:marRight w:val="0"/>
              <w:marTop w:val="0"/>
              <w:marBottom w:val="0"/>
              <w:divBdr>
                <w:top w:val="none" w:sz="0" w:space="0" w:color="auto"/>
                <w:left w:val="none" w:sz="0" w:space="0" w:color="auto"/>
                <w:bottom w:val="none" w:sz="0" w:space="0" w:color="auto"/>
                <w:right w:val="none" w:sz="0" w:space="0" w:color="auto"/>
              </w:divBdr>
            </w:div>
            <w:div w:id="114763311">
              <w:marLeft w:val="0"/>
              <w:marRight w:val="0"/>
              <w:marTop w:val="0"/>
              <w:marBottom w:val="0"/>
              <w:divBdr>
                <w:top w:val="none" w:sz="0" w:space="0" w:color="auto"/>
                <w:left w:val="none" w:sz="0" w:space="0" w:color="auto"/>
                <w:bottom w:val="none" w:sz="0" w:space="0" w:color="auto"/>
                <w:right w:val="none" w:sz="0" w:space="0" w:color="auto"/>
              </w:divBdr>
            </w:div>
            <w:div w:id="1560478953">
              <w:marLeft w:val="0"/>
              <w:marRight w:val="0"/>
              <w:marTop w:val="0"/>
              <w:marBottom w:val="0"/>
              <w:divBdr>
                <w:top w:val="none" w:sz="0" w:space="0" w:color="auto"/>
                <w:left w:val="none" w:sz="0" w:space="0" w:color="auto"/>
                <w:bottom w:val="none" w:sz="0" w:space="0" w:color="auto"/>
                <w:right w:val="none" w:sz="0" w:space="0" w:color="auto"/>
              </w:divBdr>
            </w:div>
            <w:div w:id="1490100874">
              <w:marLeft w:val="0"/>
              <w:marRight w:val="0"/>
              <w:marTop w:val="0"/>
              <w:marBottom w:val="0"/>
              <w:divBdr>
                <w:top w:val="none" w:sz="0" w:space="0" w:color="auto"/>
                <w:left w:val="none" w:sz="0" w:space="0" w:color="auto"/>
                <w:bottom w:val="none" w:sz="0" w:space="0" w:color="auto"/>
                <w:right w:val="none" w:sz="0" w:space="0" w:color="auto"/>
              </w:divBdr>
            </w:div>
            <w:div w:id="700126373">
              <w:marLeft w:val="0"/>
              <w:marRight w:val="0"/>
              <w:marTop w:val="0"/>
              <w:marBottom w:val="0"/>
              <w:divBdr>
                <w:top w:val="none" w:sz="0" w:space="0" w:color="auto"/>
                <w:left w:val="none" w:sz="0" w:space="0" w:color="auto"/>
                <w:bottom w:val="none" w:sz="0" w:space="0" w:color="auto"/>
                <w:right w:val="none" w:sz="0" w:space="0" w:color="auto"/>
              </w:divBdr>
            </w:div>
            <w:div w:id="136261741">
              <w:marLeft w:val="0"/>
              <w:marRight w:val="0"/>
              <w:marTop w:val="0"/>
              <w:marBottom w:val="0"/>
              <w:divBdr>
                <w:top w:val="none" w:sz="0" w:space="0" w:color="auto"/>
                <w:left w:val="none" w:sz="0" w:space="0" w:color="auto"/>
                <w:bottom w:val="none" w:sz="0" w:space="0" w:color="auto"/>
                <w:right w:val="none" w:sz="0" w:space="0" w:color="auto"/>
              </w:divBdr>
            </w:div>
            <w:div w:id="1587107687">
              <w:marLeft w:val="0"/>
              <w:marRight w:val="0"/>
              <w:marTop w:val="0"/>
              <w:marBottom w:val="0"/>
              <w:divBdr>
                <w:top w:val="none" w:sz="0" w:space="0" w:color="auto"/>
                <w:left w:val="none" w:sz="0" w:space="0" w:color="auto"/>
                <w:bottom w:val="none" w:sz="0" w:space="0" w:color="auto"/>
                <w:right w:val="none" w:sz="0" w:space="0" w:color="auto"/>
              </w:divBdr>
            </w:div>
            <w:div w:id="500660391">
              <w:marLeft w:val="0"/>
              <w:marRight w:val="0"/>
              <w:marTop w:val="0"/>
              <w:marBottom w:val="0"/>
              <w:divBdr>
                <w:top w:val="none" w:sz="0" w:space="0" w:color="auto"/>
                <w:left w:val="none" w:sz="0" w:space="0" w:color="auto"/>
                <w:bottom w:val="none" w:sz="0" w:space="0" w:color="auto"/>
                <w:right w:val="none" w:sz="0" w:space="0" w:color="auto"/>
              </w:divBdr>
            </w:div>
            <w:div w:id="1499030841">
              <w:marLeft w:val="0"/>
              <w:marRight w:val="0"/>
              <w:marTop w:val="0"/>
              <w:marBottom w:val="0"/>
              <w:divBdr>
                <w:top w:val="none" w:sz="0" w:space="0" w:color="auto"/>
                <w:left w:val="none" w:sz="0" w:space="0" w:color="auto"/>
                <w:bottom w:val="none" w:sz="0" w:space="0" w:color="auto"/>
                <w:right w:val="none" w:sz="0" w:space="0" w:color="auto"/>
              </w:divBdr>
            </w:div>
            <w:div w:id="1594701668">
              <w:marLeft w:val="0"/>
              <w:marRight w:val="0"/>
              <w:marTop w:val="0"/>
              <w:marBottom w:val="0"/>
              <w:divBdr>
                <w:top w:val="none" w:sz="0" w:space="0" w:color="auto"/>
                <w:left w:val="none" w:sz="0" w:space="0" w:color="auto"/>
                <w:bottom w:val="none" w:sz="0" w:space="0" w:color="auto"/>
                <w:right w:val="none" w:sz="0" w:space="0" w:color="auto"/>
              </w:divBdr>
            </w:div>
            <w:div w:id="123273955">
              <w:marLeft w:val="0"/>
              <w:marRight w:val="0"/>
              <w:marTop w:val="0"/>
              <w:marBottom w:val="0"/>
              <w:divBdr>
                <w:top w:val="none" w:sz="0" w:space="0" w:color="auto"/>
                <w:left w:val="none" w:sz="0" w:space="0" w:color="auto"/>
                <w:bottom w:val="none" w:sz="0" w:space="0" w:color="auto"/>
                <w:right w:val="none" w:sz="0" w:space="0" w:color="auto"/>
              </w:divBdr>
            </w:div>
            <w:div w:id="11195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826">
      <w:bodyDiv w:val="1"/>
      <w:marLeft w:val="0"/>
      <w:marRight w:val="0"/>
      <w:marTop w:val="0"/>
      <w:marBottom w:val="0"/>
      <w:divBdr>
        <w:top w:val="none" w:sz="0" w:space="0" w:color="auto"/>
        <w:left w:val="none" w:sz="0" w:space="0" w:color="auto"/>
        <w:bottom w:val="none" w:sz="0" w:space="0" w:color="auto"/>
        <w:right w:val="none" w:sz="0" w:space="0" w:color="auto"/>
      </w:divBdr>
      <w:divsChild>
        <w:div w:id="432211183">
          <w:marLeft w:val="0"/>
          <w:marRight w:val="0"/>
          <w:marTop w:val="0"/>
          <w:marBottom w:val="0"/>
          <w:divBdr>
            <w:top w:val="none" w:sz="0" w:space="0" w:color="auto"/>
            <w:left w:val="none" w:sz="0" w:space="0" w:color="auto"/>
            <w:bottom w:val="none" w:sz="0" w:space="0" w:color="auto"/>
            <w:right w:val="none" w:sz="0" w:space="0" w:color="auto"/>
          </w:divBdr>
        </w:div>
        <w:div w:id="1185098036">
          <w:marLeft w:val="0"/>
          <w:marRight w:val="0"/>
          <w:marTop w:val="0"/>
          <w:marBottom w:val="0"/>
          <w:divBdr>
            <w:top w:val="none" w:sz="0" w:space="0" w:color="auto"/>
            <w:left w:val="none" w:sz="0" w:space="0" w:color="auto"/>
            <w:bottom w:val="none" w:sz="0" w:space="0" w:color="auto"/>
            <w:right w:val="none" w:sz="0" w:space="0" w:color="auto"/>
          </w:divBdr>
        </w:div>
        <w:div w:id="1322848525">
          <w:marLeft w:val="0"/>
          <w:marRight w:val="0"/>
          <w:marTop w:val="0"/>
          <w:marBottom w:val="0"/>
          <w:divBdr>
            <w:top w:val="none" w:sz="0" w:space="0" w:color="auto"/>
            <w:left w:val="none" w:sz="0" w:space="0" w:color="auto"/>
            <w:bottom w:val="none" w:sz="0" w:space="0" w:color="auto"/>
            <w:right w:val="none" w:sz="0" w:space="0" w:color="auto"/>
          </w:divBdr>
        </w:div>
        <w:div w:id="516427714">
          <w:marLeft w:val="0"/>
          <w:marRight w:val="0"/>
          <w:marTop w:val="0"/>
          <w:marBottom w:val="0"/>
          <w:divBdr>
            <w:top w:val="none" w:sz="0" w:space="0" w:color="auto"/>
            <w:left w:val="none" w:sz="0" w:space="0" w:color="auto"/>
            <w:bottom w:val="none" w:sz="0" w:space="0" w:color="auto"/>
            <w:right w:val="none" w:sz="0" w:space="0" w:color="auto"/>
          </w:divBdr>
        </w:div>
        <w:div w:id="370808081">
          <w:marLeft w:val="0"/>
          <w:marRight w:val="0"/>
          <w:marTop w:val="0"/>
          <w:marBottom w:val="0"/>
          <w:divBdr>
            <w:top w:val="none" w:sz="0" w:space="0" w:color="auto"/>
            <w:left w:val="none" w:sz="0" w:space="0" w:color="auto"/>
            <w:bottom w:val="none" w:sz="0" w:space="0" w:color="auto"/>
            <w:right w:val="none" w:sz="0" w:space="0" w:color="auto"/>
          </w:divBdr>
        </w:div>
        <w:div w:id="989018677">
          <w:marLeft w:val="0"/>
          <w:marRight w:val="0"/>
          <w:marTop w:val="0"/>
          <w:marBottom w:val="0"/>
          <w:divBdr>
            <w:top w:val="none" w:sz="0" w:space="0" w:color="auto"/>
            <w:left w:val="none" w:sz="0" w:space="0" w:color="auto"/>
            <w:bottom w:val="none" w:sz="0" w:space="0" w:color="auto"/>
            <w:right w:val="none" w:sz="0" w:space="0" w:color="auto"/>
          </w:divBdr>
        </w:div>
        <w:div w:id="396902360">
          <w:marLeft w:val="0"/>
          <w:marRight w:val="0"/>
          <w:marTop w:val="0"/>
          <w:marBottom w:val="0"/>
          <w:divBdr>
            <w:top w:val="none" w:sz="0" w:space="0" w:color="auto"/>
            <w:left w:val="none" w:sz="0" w:space="0" w:color="auto"/>
            <w:bottom w:val="none" w:sz="0" w:space="0" w:color="auto"/>
            <w:right w:val="none" w:sz="0" w:space="0" w:color="auto"/>
          </w:divBdr>
        </w:div>
        <w:div w:id="1447850483">
          <w:marLeft w:val="0"/>
          <w:marRight w:val="0"/>
          <w:marTop w:val="0"/>
          <w:marBottom w:val="0"/>
          <w:divBdr>
            <w:top w:val="none" w:sz="0" w:space="0" w:color="auto"/>
            <w:left w:val="none" w:sz="0" w:space="0" w:color="auto"/>
            <w:bottom w:val="none" w:sz="0" w:space="0" w:color="auto"/>
            <w:right w:val="none" w:sz="0" w:space="0" w:color="auto"/>
          </w:divBdr>
        </w:div>
        <w:div w:id="533272844">
          <w:marLeft w:val="0"/>
          <w:marRight w:val="0"/>
          <w:marTop w:val="0"/>
          <w:marBottom w:val="0"/>
          <w:divBdr>
            <w:top w:val="none" w:sz="0" w:space="0" w:color="auto"/>
            <w:left w:val="none" w:sz="0" w:space="0" w:color="auto"/>
            <w:bottom w:val="none" w:sz="0" w:space="0" w:color="auto"/>
            <w:right w:val="none" w:sz="0" w:space="0" w:color="auto"/>
          </w:divBdr>
        </w:div>
        <w:div w:id="1878272176">
          <w:marLeft w:val="0"/>
          <w:marRight w:val="0"/>
          <w:marTop w:val="0"/>
          <w:marBottom w:val="0"/>
          <w:divBdr>
            <w:top w:val="none" w:sz="0" w:space="0" w:color="auto"/>
            <w:left w:val="none" w:sz="0" w:space="0" w:color="auto"/>
            <w:bottom w:val="none" w:sz="0" w:space="0" w:color="auto"/>
            <w:right w:val="none" w:sz="0" w:space="0" w:color="auto"/>
          </w:divBdr>
        </w:div>
        <w:div w:id="80685947">
          <w:marLeft w:val="0"/>
          <w:marRight w:val="0"/>
          <w:marTop w:val="0"/>
          <w:marBottom w:val="0"/>
          <w:divBdr>
            <w:top w:val="none" w:sz="0" w:space="0" w:color="auto"/>
            <w:left w:val="none" w:sz="0" w:space="0" w:color="auto"/>
            <w:bottom w:val="none" w:sz="0" w:space="0" w:color="auto"/>
            <w:right w:val="none" w:sz="0" w:space="0" w:color="auto"/>
          </w:divBdr>
        </w:div>
        <w:div w:id="685904854">
          <w:marLeft w:val="0"/>
          <w:marRight w:val="0"/>
          <w:marTop w:val="0"/>
          <w:marBottom w:val="0"/>
          <w:divBdr>
            <w:top w:val="none" w:sz="0" w:space="0" w:color="auto"/>
            <w:left w:val="none" w:sz="0" w:space="0" w:color="auto"/>
            <w:bottom w:val="none" w:sz="0" w:space="0" w:color="auto"/>
            <w:right w:val="none" w:sz="0" w:space="0" w:color="auto"/>
          </w:divBdr>
        </w:div>
        <w:div w:id="128984697">
          <w:marLeft w:val="0"/>
          <w:marRight w:val="0"/>
          <w:marTop w:val="0"/>
          <w:marBottom w:val="0"/>
          <w:divBdr>
            <w:top w:val="none" w:sz="0" w:space="0" w:color="auto"/>
            <w:left w:val="none" w:sz="0" w:space="0" w:color="auto"/>
            <w:bottom w:val="none" w:sz="0" w:space="0" w:color="auto"/>
            <w:right w:val="none" w:sz="0" w:space="0" w:color="auto"/>
          </w:divBdr>
        </w:div>
        <w:div w:id="352536700">
          <w:marLeft w:val="0"/>
          <w:marRight w:val="0"/>
          <w:marTop w:val="0"/>
          <w:marBottom w:val="0"/>
          <w:divBdr>
            <w:top w:val="none" w:sz="0" w:space="0" w:color="auto"/>
            <w:left w:val="none" w:sz="0" w:space="0" w:color="auto"/>
            <w:bottom w:val="none" w:sz="0" w:space="0" w:color="auto"/>
            <w:right w:val="none" w:sz="0" w:space="0" w:color="auto"/>
          </w:divBdr>
        </w:div>
        <w:div w:id="1605772029">
          <w:marLeft w:val="0"/>
          <w:marRight w:val="0"/>
          <w:marTop w:val="0"/>
          <w:marBottom w:val="0"/>
          <w:divBdr>
            <w:top w:val="none" w:sz="0" w:space="0" w:color="auto"/>
            <w:left w:val="none" w:sz="0" w:space="0" w:color="auto"/>
            <w:bottom w:val="none" w:sz="0" w:space="0" w:color="auto"/>
            <w:right w:val="none" w:sz="0" w:space="0" w:color="auto"/>
          </w:divBdr>
        </w:div>
        <w:div w:id="1317493972">
          <w:marLeft w:val="0"/>
          <w:marRight w:val="0"/>
          <w:marTop w:val="0"/>
          <w:marBottom w:val="0"/>
          <w:divBdr>
            <w:top w:val="none" w:sz="0" w:space="0" w:color="auto"/>
            <w:left w:val="none" w:sz="0" w:space="0" w:color="auto"/>
            <w:bottom w:val="none" w:sz="0" w:space="0" w:color="auto"/>
            <w:right w:val="none" w:sz="0" w:space="0" w:color="auto"/>
          </w:divBdr>
        </w:div>
        <w:div w:id="1393651956">
          <w:marLeft w:val="0"/>
          <w:marRight w:val="0"/>
          <w:marTop w:val="0"/>
          <w:marBottom w:val="0"/>
          <w:divBdr>
            <w:top w:val="none" w:sz="0" w:space="0" w:color="auto"/>
            <w:left w:val="none" w:sz="0" w:space="0" w:color="auto"/>
            <w:bottom w:val="none" w:sz="0" w:space="0" w:color="auto"/>
            <w:right w:val="none" w:sz="0" w:space="0" w:color="auto"/>
          </w:divBdr>
        </w:div>
        <w:div w:id="1742210265">
          <w:marLeft w:val="0"/>
          <w:marRight w:val="0"/>
          <w:marTop w:val="0"/>
          <w:marBottom w:val="0"/>
          <w:divBdr>
            <w:top w:val="none" w:sz="0" w:space="0" w:color="auto"/>
            <w:left w:val="none" w:sz="0" w:space="0" w:color="auto"/>
            <w:bottom w:val="none" w:sz="0" w:space="0" w:color="auto"/>
            <w:right w:val="none" w:sz="0" w:space="0" w:color="auto"/>
          </w:divBdr>
        </w:div>
        <w:div w:id="67966078">
          <w:marLeft w:val="0"/>
          <w:marRight w:val="0"/>
          <w:marTop w:val="0"/>
          <w:marBottom w:val="0"/>
          <w:divBdr>
            <w:top w:val="none" w:sz="0" w:space="0" w:color="auto"/>
            <w:left w:val="none" w:sz="0" w:space="0" w:color="auto"/>
            <w:bottom w:val="none" w:sz="0" w:space="0" w:color="auto"/>
            <w:right w:val="none" w:sz="0" w:space="0" w:color="auto"/>
          </w:divBdr>
        </w:div>
        <w:div w:id="672300087">
          <w:marLeft w:val="0"/>
          <w:marRight w:val="0"/>
          <w:marTop w:val="0"/>
          <w:marBottom w:val="0"/>
          <w:divBdr>
            <w:top w:val="none" w:sz="0" w:space="0" w:color="auto"/>
            <w:left w:val="none" w:sz="0" w:space="0" w:color="auto"/>
            <w:bottom w:val="none" w:sz="0" w:space="0" w:color="auto"/>
            <w:right w:val="none" w:sz="0" w:space="0" w:color="auto"/>
          </w:divBdr>
        </w:div>
        <w:div w:id="1941061893">
          <w:marLeft w:val="0"/>
          <w:marRight w:val="0"/>
          <w:marTop w:val="0"/>
          <w:marBottom w:val="0"/>
          <w:divBdr>
            <w:top w:val="none" w:sz="0" w:space="0" w:color="auto"/>
            <w:left w:val="none" w:sz="0" w:space="0" w:color="auto"/>
            <w:bottom w:val="none" w:sz="0" w:space="0" w:color="auto"/>
            <w:right w:val="none" w:sz="0" w:space="0" w:color="auto"/>
          </w:divBdr>
        </w:div>
        <w:div w:id="1746341179">
          <w:marLeft w:val="0"/>
          <w:marRight w:val="0"/>
          <w:marTop w:val="0"/>
          <w:marBottom w:val="0"/>
          <w:divBdr>
            <w:top w:val="none" w:sz="0" w:space="0" w:color="auto"/>
            <w:left w:val="none" w:sz="0" w:space="0" w:color="auto"/>
            <w:bottom w:val="none" w:sz="0" w:space="0" w:color="auto"/>
            <w:right w:val="none" w:sz="0" w:space="0" w:color="auto"/>
          </w:divBdr>
        </w:div>
        <w:div w:id="341057284">
          <w:marLeft w:val="0"/>
          <w:marRight w:val="0"/>
          <w:marTop w:val="0"/>
          <w:marBottom w:val="0"/>
          <w:divBdr>
            <w:top w:val="none" w:sz="0" w:space="0" w:color="auto"/>
            <w:left w:val="none" w:sz="0" w:space="0" w:color="auto"/>
            <w:bottom w:val="none" w:sz="0" w:space="0" w:color="auto"/>
            <w:right w:val="none" w:sz="0" w:space="0" w:color="auto"/>
          </w:divBdr>
        </w:div>
        <w:div w:id="2132505707">
          <w:marLeft w:val="0"/>
          <w:marRight w:val="0"/>
          <w:marTop w:val="0"/>
          <w:marBottom w:val="0"/>
          <w:divBdr>
            <w:top w:val="none" w:sz="0" w:space="0" w:color="auto"/>
            <w:left w:val="none" w:sz="0" w:space="0" w:color="auto"/>
            <w:bottom w:val="none" w:sz="0" w:space="0" w:color="auto"/>
            <w:right w:val="none" w:sz="0" w:space="0" w:color="auto"/>
          </w:divBdr>
        </w:div>
        <w:div w:id="1471245977">
          <w:marLeft w:val="0"/>
          <w:marRight w:val="0"/>
          <w:marTop w:val="0"/>
          <w:marBottom w:val="0"/>
          <w:divBdr>
            <w:top w:val="none" w:sz="0" w:space="0" w:color="auto"/>
            <w:left w:val="none" w:sz="0" w:space="0" w:color="auto"/>
            <w:bottom w:val="none" w:sz="0" w:space="0" w:color="auto"/>
            <w:right w:val="none" w:sz="0" w:space="0" w:color="auto"/>
          </w:divBdr>
        </w:div>
        <w:div w:id="304896521">
          <w:marLeft w:val="0"/>
          <w:marRight w:val="0"/>
          <w:marTop w:val="0"/>
          <w:marBottom w:val="0"/>
          <w:divBdr>
            <w:top w:val="none" w:sz="0" w:space="0" w:color="auto"/>
            <w:left w:val="none" w:sz="0" w:space="0" w:color="auto"/>
            <w:bottom w:val="none" w:sz="0" w:space="0" w:color="auto"/>
            <w:right w:val="none" w:sz="0" w:space="0" w:color="auto"/>
          </w:divBdr>
        </w:div>
        <w:div w:id="646205506">
          <w:marLeft w:val="0"/>
          <w:marRight w:val="0"/>
          <w:marTop w:val="0"/>
          <w:marBottom w:val="0"/>
          <w:divBdr>
            <w:top w:val="none" w:sz="0" w:space="0" w:color="auto"/>
            <w:left w:val="none" w:sz="0" w:space="0" w:color="auto"/>
            <w:bottom w:val="none" w:sz="0" w:space="0" w:color="auto"/>
            <w:right w:val="none" w:sz="0" w:space="0" w:color="auto"/>
          </w:divBdr>
        </w:div>
        <w:div w:id="594438918">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913127142">
          <w:marLeft w:val="0"/>
          <w:marRight w:val="0"/>
          <w:marTop w:val="0"/>
          <w:marBottom w:val="0"/>
          <w:divBdr>
            <w:top w:val="none" w:sz="0" w:space="0" w:color="auto"/>
            <w:left w:val="none" w:sz="0" w:space="0" w:color="auto"/>
            <w:bottom w:val="none" w:sz="0" w:space="0" w:color="auto"/>
            <w:right w:val="none" w:sz="0" w:space="0" w:color="auto"/>
          </w:divBdr>
        </w:div>
        <w:div w:id="720439175">
          <w:marLeft w:val="0"/>
          <w:marRight w:val="0"/>
          <w:marTop w:val="0"/>
          <w:marBottom w:val="0"/>
          <w:divBdr>
            <w:top w:val="none" w:sz="0" w:space="0" w:color="auto"/>
            <w:left w:val="none" w:sz="0" w:space="0" w:color="auto"/>
            <w:bottom w:val="none" w:sz="0" w:space="0" w:color="auto"/>
            <w:right w:val="none" w:sz="0" w:space="0" w:color="auto"/>
          </w:divBdr>
        </w:div>
      </w:divsChild>
    </w:div>
    <w:div w:id="1636060580">
      <w:bodyDiv w:val="1"/>
      <w:marLeft w:val="0"/>
      <w:marRight w:val="0"/>
      <w:marTop w:val="0"/>
      <w:marBottom w:val="0"/>
      <w:divBdr>
        <w:top w:val="none" w:sz="0" w:space="0" w:color="auto"/>
        <w:left w:val="none" w:sz="0" w:space="0" w:color="auto"/>
        <w:bottom w:val="none" w:sz="0" w:space="0" w:color="auto"/>
        <w:right w:val="none" w:sz="0" w:space="0" w:color="auto"/>
      </w:divBdr>
    </w:div>
    <w:div w:id="1686832522">
      <w:bodyDiv w:val="1"/>
      <w:marLeft w:val="0"/>
      <w:marRight w:val="0"/>
      <w:marTop w:val="0"/>
      <w:marBottom w:val="0"/>
      <w:divBdr>
        <w:top w:val="none" w:sz="0" w:space="0" w:color="auto"/>
        <w:left w:val="none" w:sz="0" w:space="0" w:color="auto"/>
        <w:bottom w:val="none" w:sz="0" w:space="0" w:color="auto"/>
        <w:right w:val="none" w:sz="0" w:space="0" w:color="auto"/>
      </w:divBdr>
    </w:div>
    <w:div w:id="1731339167">
      <w:bodyDiv w:val="1"/>
      <w:marLeft w:val="0"/>
      <w:marRight w:val="0"/>
      <w:marTop w:val="0"/>
      <w:marBottom w:val="0"/>
      <w:divBdr>
        <w:top w:val="none" w:sz="0" w:space="0" w:color="auto"/>
        <w:left w:val="none" w:sz="0" w:space="0" w:color="auto"/>
        <w:bottom w:val="none" w:sz="0" w:space="0" w:color="auto"/>
        <w:right w:val="none" w:sz="0" w:space="0" w:color="auto"/>
      </w:divBdr>
    </w:div>
    <w:div w:id="1846049367">
      <w:bodyDiv w:val="1"/>
      <w:marLeft w:val="0"/>
      <w:marRight w:val="0"/>
      <w:marTop w:val="0"/>
      <w:marBottom w:val="0"/>
      <w:divBdr>
        <w:top w:val="none" w:sz="0" w:space="0" w:color="auto"/>
        <w:left w:val="none" w:sz="0" w:space="0" w:color="auto"/>
        <w:bottom w:val="none" w:sz="0" w:space="0" w:color="auto"/>
        <w:right w:val="none" w:sz="0" w:space="0" w:color="auto"/>
      </w:divBdr>
    </w:div>
    <w:div w:id="1859853579">
      <w:bodyDiv w:val="1"/>
      <w:marLeft w:val="0"/>
      <w:marRight w:val="0"/>
      <w:marTop w:val="0"/>
      <w:marBottom w:val="0"/>
      <w:divBdr>
        <w:top w:val="none" w:sz="0" w:space="0" w:color="auto"/>
        <w:left w:val="none" w:sz="0" w:space="0" w:color="auto"/>
        <w:bottom w:val="none" w:sz="0" w:space="0" w:color="auto"/>
        <w:right w:val="none" w:sz="0" w:space="0" w:color="auto"/>
      </w:divBdr>
    </w:div>
    <w:div w:id="2026666657">
      <w:bodyDiv w:val="1"/>
      <w:marLeft w:val="0"/>
      <w:marRight w:val="0"/>
      <w:marTop w:val="0"/>
      <w:marBottom w:val="0"/>
      <w:divBdr>
        <w:top w:val="none" w:sz="0" w:space="0" w:color="auto"/>
        <w:left w:val="none" w:sz="0" w:space="0" w:color="auto"/>
        <w:bottom w:val="none" w:sz="0" w:space="0" w:color="auto"/>
        <w:right w:val="none" w:sz="0" w:space="0" w:color="auto"/>
      </w:divBdr>
      <w:divsChild>
        <w:div w:id="563835679">
          <w:marLeft w:val="0"/>
          <w:marRight w:val="0"/>
          <w:marTop w:val="0"/>
          <w:marBottom w:val="214"/>
          <w:divBdr>
            <w:top w:val="single" w:sz="6" w:space="0" w:color="DDDDDD"/>
            <w:left w:val="single" w:sz="6" w:space="0" w:color="DDDDDD"/>
            <w:bottom w:val="single" w:sz="6" w:space="0" w:color="DDDDDD"/>
            <w:right w:val="single" w:sz="6" w:space="0" w:color="DDDDDD"/>
          </w:divBdr>
        </w:div>
        <w:div w:id="527377911">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2034262190">
      <w:bodyDiv w:val="1"/>
      <w:marLeft w:val="0"/>
      <w:marRight w:val="0"/>
      <w:marTop w:val="0"/>
      <w:marBottom w:val="0"/>
      <w:divBdr>
        <w:top w:val="none" w:sz="0" w:space="0" w:color="auto"/>
        <w:left w:val="none" w:sz="0" w:space="0" w:color="auto"/>
        <w:bottom w:val="none" w:sz="0" w:space="0" w:color="auto"/>
        <w:right w:val="none" w:sz="0" w:space="0" w:color="auto"/>
      </w:divBdr>
    </w:div>
    <w:div w:id="2099788809">
      <w:bodyDiv w:val="1"/>
      <w:marLeft w:val="0"/>
      <w:marRight w:val="0"/>
      <w:marTop w:val="0"/>
      <w:marBottom w:val="0"/>
      <w:divBdr>
        <w:top w:val="none" w:sz="0" w:space="0" w:color="auto"/>
        <w:left w:val="none" w:sz="0" w:space="0" w:color="auto"/>
        <w:bottom w:val="none" w:sz="0" w:space="0" w:color="auto"/>
        <w:right w:val="none" w:sz="0" w:space="0" w:color="auto"/>
      </w:divBdr>
    </w:div>
    <w:div w:id="21026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2242-CBEC-446E-8AE9-1C21931F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20</Pages>
  <Words>7457</Words>
  <Characters>42507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Regulatory22</dc:creator>
  <cp:keywords/>
  <dc:description/>
  <cp:lastModifiedBy>neetu</cp:lastModifiedBy>
  <cp:revision>267</cp:revision>
  <dcterms:created xsi:type="dcterms:W3CDTF">2017-07-03T11:48:00Z</dcterms:created>
  <dcterms:modified xsi:type="dcterms:W3CDTF">2020-10-16T11:19:00Z</dcterms:modified>
</cp:coreProperties>
</file>