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spacing w:before="5" w:after="1"/>
        <w:rPr>
          <w:rFonts w:ascii="Times New Roman"/>
          <w:sz w:val="22"/>
        </w:rPr>
      </w:pPr>
    </w:p>
    <w:p w:rsidR="004860FE" w:rsidRDefault="00E34B4E">
      <w:pPr>
        <w:pStyle w:val="BodyText"/>
        <w:ind w:left="3626"/>
        <w:rPr>
          <w:rFonts w:ascii="Times New Roman"/>
        </w:rPr>
      </w:pPr>
      <w:r>
        <w:rPr>
          <w:rFonts w:ascii="Times New Roman"/>
          <w:noProof/>
        </w:rPr>
        <w:drawing>
          <wp:inline distT="0" distB="0" distL="0" distR="0">
            <wp:extent cx="1268697"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8697" cy="1171575"/>
                    </a:xfrm>
                    <a:prstGeom prst="rect">
                      <a:avLst/>
                    </a:prstGeom>
                  </pic:spPr>
                </pic:pic>
              </a:graphicData>
            </a:graphic>
          </wp:inline>
        </w:drawing>
      </w: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E34B4E">
      <w:pPr>
        <w:pStyle w:val="Heading1"/>
        <w:spacing w:before="225" w:line="360" w:lineRule="auto"/>
        <w:ind w:right="254"/>
      </w:pPr>
      <w:r>
        <w:t>National Agency for Food &amp; Drug Administration &amp; Control (NAFDAC)</w:t>
      </w:r>
    </w:p>
    <w:p w:rsidR="004860FE" w:rsidRDefault="004860FE">
      <w:pPr>
        <w:pStyle w:val="BodyText"/>
        <w:rPr>
          <w:b/>
          <w:sz w:val="42"/>
        </w:rPr>
      </w:pPr>
    </w:p>
    <w:p w:rsidR="004860FE" w:rsidRDefault="004860FE">
      <w:pPr>
        <w:pStyle w:val="BodyText"/>
        <w:rPr>
          <w:b/>
          <w:sz w:val="42"/>
        </w:rPr>
      </w:pPr>
    </w:p>
    <w:p w:rsidR="004860FE" w:rsidRDefault="004860FE">
      <w:pPr>
        <w:pStyle w:val="BodyText"/>
        <w:rPr>
          <w:b/>
          <w:sz w:val="42"/>
        </w:rPr>
      </w:pPr>
    </w:p>
    <w:p w:rsidR="004860FE" w:rsidRDefault="004860FE">
      <w:pPr>
        <w:pStyle w:val="BodyText"/>
        <w:spacing w:before="1"/>
        <w:rPr>
          <w:b/>
          <w:sz w:val="36"/>
        </w:rPr>
      </w:pPr>
    </w:p>
    <w:p w:rsidR="004860FE" w:rsidRDefault="00E34B4E">
      <w:pPr>
        <w:spacing w:line="360" w:lineRule="auto"/>
        <w:ind w:left="190" w:right="244"/>
        <w:jc w:val="center"/>
        <w:rPr>
          <w:b/>
          <w:sz w:val="36"/>
        </w:rPr>
      </w:pPr>
      <w:r>
        <w:rPr>
          <w:b/>
          <w:sz w:val="36"/>
        </w:rPr>
        <w:t>Registration &amp; Regulatory Affairs (R &amp; R) Directorate</w:t>
      </w:r>
    </w:p>
    <w:p w:rsidR="004860FE" w:rsidRDefault="004860FE">
      <w:pPr>
        <w:pStyle w:val="BodyText"/>
        <w:rPr>
          <w:b/>
          <w:sz w:val="42"/>
        </w:rPr>
      </w:pPr>
    </w:p>
    <w:p w:rsidR="004860FE" w:rsidRDefault="004860FE">
      <w:pPr>
        <w:pStyle w:val="BodyText"/>
        <w:rPr>
          <w:b/>
          <w:sz w:val="42"/>
        </w:rPr>
      </w:pPr>
    </w:p>
    <w:p w:rsidR="004860FE" w:rsidRDefault="004860FE">
      <w:pPr>
        <w:pStyle w:val="BodyText"/>
        <w:rPr>
          <w:b/>
          <w:sz w:val="42"/>
        </w:rPr>
      </w:pPr>
    </w:p>
    <w:p w:rsidR="004860FE" w:rsidRDefault="004860FE">
      <w:pPr>
        <w:pStyle w:val="BodyText"/>
        <w:rPr>
          <w:b/>
          <w:sz w:val="42"/>
        </w:rPr>
      </w:pPr>
    </w:p>
    <w:p w:rsidR="004860FE" w:rsidRDefault="004860FE">
      <w:pPr>
        <w:pStyle w:val="BodyText"/>
        <w:spacing w:before="11"/>
        <w:rPr>
          <w:b/>
          <w:sz w:val="47"/>
        </w:rPr>
      </w:pPr>
    </w:p>
    <w:p w:rsidR="004860FE" w:rsidRDefault="00E34B4E">
      <w:pPr>
        <w:spacing w:line="360" w:lineRule="auto"/>
        <w:ind w:left="2970" w:right="914" w:hanging="2286"/>
        <w:rPr>
          <w:b/>
          <w:sz w:val="36"/>
        </w:rPr>
      </w:pPr>
      <w:r>
        <w:rPr>
          <w:b/>
          <w:sz w:val="36"/>
        </w:rPr>
        <w:t>SUMMARY OF PRODUCT CHARACTERISTICS (SmPC) TEMPLATE</w:t>
      </w:r>
    </w:p>
    <w:p w:rsidR="004860FE" w:rsidRDefault="004860FE">
      <w:pPr>
        <w:spacing w:line="360" w:lineRule="auto"/>
        <w:rPr>
          <w:sz w:val="36"/>
        </w:rPr>
        <w:sectPr w:rsidR="004860FE">
          <w:headerReference w:type="even" r:id="rId8"/>
          <w:headerReference w:type="default" r:id="rId9"/>
          <w:footerReference w:type="even" r:id="rId10"/>
          <w:footerReference w:type="default" r:id="rId11"/>
          <w:headerReference w:type="first" r:id="rId12"/>
          <w:footerReference w:type="first" r:id="rId13"/>
          <w:type w:val="continuous"/>
          <w:pgSz w:w="11920" w:h="16860"/>
          <w:pgMar w:top="1600" w:right="1060" w:bottom="1140" w:left="1300" w:header="720" w:footer="951" w:gutter="0"/>
          <w:pgNumType w:start="1"/>
          <w:cols w:space="720"/>
        </w:sectPr>
      </w:pPr>
    </w:p>
    <w:p w:rsidR="004860FE" w:rsidRDefault="00E34B4E">
      <w:pPr>
        <w:pStyle w:val="Heading3"/>
        <w:numPr>
          <w:ilvl w:val="0"/>
          <w:numId w:val="1"/>
        </w:numPr>
        <w:tabs>
          <w:tab w:val="left" w:pos="802"/>
          <w:tab w:val="left" w:pos="803"/>
        </w:tabs>
        <w:spacing w:before="197"/>
        <w:ind w:hanging="697"/>
      </w:pPr>
      <w:r>
        <w:lastRenderedPageBreak/>
        <w:t>NAME OF THE MEDICINAL PRODUCT</w:t>
      </w:r>
    </w:p>
    <w:p w:rsidR="004860FE" w:rsidRDefault="000A02DD" w:rsidP="000A02DD">
      <w:pPr>
        <w:pStyle w:val="BodyText"/>
        <w:ind w:firstLine="720"/>
        <w:jc w:val="both"/>
        <w:rPr>
          <w:sz w:val="24"/>
        </w:rPr>
      </w:pPr>
      <w:r>
        <w:t xml:space="preserve"> </w:t>
      </w:r>
      <w:r w:rsidR="00E15D05" w:rsidRPr="00E15D05">
        <w:t>KALCEP-100</w:t>
      </w:r>
      <w:r w:rsidR="00E15D05">
        <w:t xml:space="preserve"> mg dispersible tablets</w:t>
      </w:r>
    </w:p>
    <w:p w:rsidR="004860FE" w:rsidRDefault="004860FE">
      <w:pPr>
        <w:pStyle w:val="BodyText"/>
        <w:spacing w:before="3"/>
        <w:rPr>
          <w:sz w:val="22"/>
        </w:rPr>
      </w:pPr>
    </w:p>
    <w:p w:rsidR="004860FE" w:rsidRDefault="00E34B4E">
      <w:pPr>
        <w:pStyle w:val="Heading3"/>
        <w:numPr>
          <w:ilvl w:val="0"/>
          <w:numId w:val="1"/>
        </w:numPr>
        <w:tabs>
          <w:tab w:val="left" w:pos="725"/>
          <w:tab w:val="left" w:pos="726"/>
        </w:tabs>
        <w:spacing w:before="0"/>
        <w:ind w:left="726" w:hanging="620"/>
      </w:pPr>
      <w:r>
        <w:t>QUALITATIVE AND QUANTITATIVECOMPOSITION</w:t>
      </w:r>
    </w:p>
    <w:p w:rsidR="008366E5" w:rsidRPr="008366E5" w:rsidRDefault="008366E5" w:rsidP="000A02DD">
      <w:pPr>
        <w:pStyle w:val="BodyText"/>
        <w:spacing w:line="276" w:lineRule="auto"/>
        <w:ind w:left="709"/>
        <w:jc w:val="both"/>
        <w:rPr>
          <w:szCs w:val="16"/>
        </w:rPr>
      </w:pPr>
      <w:r w:rsidRPr="008366E5">
        <w:rPr>
          <w:szCs w:val="16"/>
        </w:rPr>
        <w:t>Each uncoated dispersible tablet contains:</w:t>
      </w:r>
    </w:p>
    <w:p w:rsidR="008366E5" w:rsidRPr="008366E5" w:rsidRDefault="008366E5" w:rsidP="000A02DD">
      <w:pPr>
        <w:pStyle w:val="BodyText"/>
        <w:spacing w:line="276" w:lineRule="auto"/>
        <w:ind w:left="709"/>
        <w:jc w:val="both"/>
        <w:rPr>
          <w:szCs w:val="16"/>
        </w:rPr>
      </w:pPr>
      <w:r w:rsidRPr="008366E5">
        <w:rPr>
          <w:szCs w:val="16"/>
        </w:rPr>
        <w:t>Cefpodoxime Proxetil USP</w:t>
      </w:r>
    </w:p>
    <w:p w:rsidR="008366E5" w:rsidRPr="008366E5" w:rsidRDefault="008366E5" w:rsidP="000A02DD">
      <w:pPr>
        <w:pStyle w:val="BodyText"/>
        <w:spacing w:line="276" w:lineRule="auto"/>
        <w:ind w:left="709"/>
        <w:jc w:val="both"/>
        <w:rPr>
          <w:szCs w:val="16"/>
        </w:rPr>
      </w:pPr>
      <w:r w:rsidRPr="008366E5">
        <w:rPr>
          <w:szCs w:val="16"/>
        </w:rPr>
        <w:t>Equivalent</w:t>
      </w:r>
      <w:r>
        <w:rPr>
          <w:szCs w:val="16"/>
        </w:rPr>
        <w:t xml:space="preserve"> to Cefpodoxime</w:t>
      </w:r>
      <w:r w:rsidRPr="008366E5">
        <w:rPr>
          <w:szCs w:val="16"/>
        </w:rPr>
        <w:t>: 100 mg</w:t>
      </w:r>
    </w:p>
    <w:p w:rsidR="00B41470" w:rsidRDefault="00B41470" w:rsidP="000A02DD">
      <w:pPr>
        <w:pStyle w:val="BodyText"/>
        <w:spacing w:line="276" w:lineRule="auto"/>
        <w:ind w:left="709" w:firstLine="599"/>
        <w:jc w:val="both"/>
      </w:pPr>
    </w:p>
    <w:p w:rsidR="004860FE" w:rsidRDefault="00E34B4E" w:rsidP="000A02DD">
      <w:pPr>
        <w:pStyle w:val="BodyText"/>
        <w:spacing w:line="276" w:lineRule="auto"/>
        <w:ind w:left="709"/>
        <w:jc w:val="both"/>
      </w:pPr>
      <w:r>
        <w:t>For a full list</w:t>
      </w:r>
      <w:r w:rsidR="00B41470">
        <w:t xml:space="preserve"> of excipients, see section 6.1</w:t>
      </w:r>
    </w:p>
    <w:p w:rsidR="004860FE" w:rsidRPr="003559B1" w:rsidRDefault="004860FE">
      <w:pPr>
        <w:pStyle w:val="BodyText"/>
        <w:spacing w:before="9"/>
        <w:rPr>
          <w:sz w:val="22"/>
          <w:szCs w:val="18"/>
        </w:rPr>
      </w:pPr>
    </w:p>
    <w:p w:rsidR="004860FE" w:rsidRPr="00C27F74" w:rsidRDefault="00E34B4E" w:rsidP="00C27F74">
      <w:pPr>
        <w:pStyle w:val="Heading2"/>
        <w:numPr>
          <w:ilvl w:val="0"/>
          <w:numId w:val="1"/>
        </w:numPr>
        <w:tabs>
          <w:tab w:val="left" w:pos="764"/>
          <w:tab w:val="left" w:pos="765"/>
        </w:tabs>
        <w:spacing w:line="336" w:lineRule="auto"/>
        <w:ind w:left="121" w:right="204" w:hanging="15"/>
      </w:pPr>
      <w:bookmarkStart w:id="0" w:name="_GoBack"/>
      <w:bookmarkEnd w:id="0"/>
      <w:r>
        <w:rPr>
          <w:b/>
          <w:i w:val="0"/>
          <w:sz w:val="20"/>
        </w:rPr>
        <w:t xml:space="preserve">PHARMACEUTICAL FORM </w:t>
      </w:r>
    </w:p>
    <w:p w:rsidR="004860FE" w:rsidRPr="00B853A5" w:rsidRDefault="000A02DD" w:rsidP="000A02DD">
      <w:pPr>
        <w:pStyle w:val="Heading2"/>
        <w:tabs>
          <w:tab w:val="left" w:pos="764"/>
          <w:tab w:val="left" w:pos="765"/>
        </w:tabs>
        <w:spacing w:line="336" w:lineRule="auto"/>
        <w:ind w:right="204"/>
        <w:jc w:val="both"/>
        <w:rPr>
          <w:i w:val="0"/>
          <w:noProof/>
          <w:sz w:val="20"/>
        </w:rPr>
      </w:pPr>
      <w:r>
        <w:rPr>
          <w:i w:val="0"/>
          <w:iCs/>
          <w:w w:val="95"/>
          <w:sz w:val="20"/>
          <w:szCs w:val="20"/>
        </w:rPr>
        <w:tab/>
      </w:r>
      <w:r w:rsidR="00C27F74" w:rsidRPr="00B853A5">
        <w:rPr>
          <w:i w:val="0"/>
          <w:iCs/>
          <w:w w:val="95"/>
          <w:sz w:val="20"/>
          <w:szCs w:val="20"/>
        </w:rPr>
        <w:t>Off white round flat uncoated tablet with break line on one side</w:t>
      </w:r>
      <w:r w:rsidR="00C27F74" w:rsidRPr="00C27F74">
        <w:rPr>
          <w:w w:val="95"/>
          <w:sz w:val="20"/>
          <w:szCs w:val="20"/>
        </w:rPr>
        <w:t>.</w:t>
      </w:r>
    </w:p>
    <w:p w:rsidR="004860FE" w:rsidRPr="003559B1" w:rsidRDefault="004860FE">
      <w:pPr>
        <w:pStyle w:val="BodyText"/>
        <w:spacing w:before="11"/>
        <w:rPr>
          <w:szCs w:val="12"/>
        </w:rPr>
      </w:pPr>
    </w:p>
    <w:p w:rsidR="004860FE" w:rsidRPr="00DC15B4" w:rsidRDefault="00E34B4E" w:rsidP="00DC15B4">
      <w:pPr>
        <w:pStyle w:val="Heading3"/>
        <w:numPr>
          <w:ilvl w:val="0"/>
          <w:numId w:val="1"/>
        </w:numPr>
        <w:tabs>
          <w:tab w:val="left" w:pos="802"/>
          <w:tab w:val="left" w:pos="803"/>
        </w:tabs>
        <w:spacing w:before="0"/>
        <w:ind w:hanging="697"/>
      </w:pPr>
      <w:r>
        <w:t>Clinical particulars</w:t>
      </w:r>
    </w:p>
    <w:p w:rsidR="004860FE" w:rsidRDefault="000A02DD">
      <w:pPr>
        <w:pStyle w:val="ListParagraph"/>
        <w:numPr>
          <w:ilvl w:val="1"/>
          <w:numId w:val="1"/>
        </w:numPr>
        <w:tabs>
          <w:tab w:val="left" w:pos="629"/>
          <w:tab w:val="left" w:pos="631"/>
        </w:tabs>
        <w:spacing w:before="197"/>
        <w:ind w:hanging="525"/>
        <w:rPr>
          <w:b/>
          <w:sz w:val="20"/>
        </w:rPr>
      </w:pPr>
      <w:r>
        <w:rPr>
          <w:b/>
          <w:sz w:val="20"/>
        </w:rPr>
        <w:t xml:space="preserve"> </w:t>
      </w:r>
      <w:r w:rsidR="00E34B4E">
        <w:rPr>
          <w:b/>
          <w:sz w:val="20"/>
        </w:rPr>
        <w:t>Therapeutic</w:t>
      </w:r>
      <w:r w:rsidR="005F51C0">
        <w:rPr>
          <w:b/>
          <w:sz w:val="20"/>
        </w:rPr>
        <w:t xml:space="preserve"> </w:t>
      </w:r>
      <w:r w:rsidR="00E34B4E">
        <w:rPr>
          <w:b/>
          <w:sz w:val="20"/>
        </w:rPr>
        <w:t>indications</w:t>
      </w:r>
    </w:p>
    <w:p w:rsidR="00900F5E" w:rsidRDefault="00900F5E" w:rsidP="000A02DD">
      <w:pPr>
        <w:pStyle w:val="BodyText"/>
        <w:spacing w:before="121"/>
        <w:ind w:left="709"/>
      </w:pPr>
      <w:r>
        <w:t>KALCEP-100 tablets are indicated for the treatment of:</w:t>
      </w:r>
    </w:p>
    <w:p w:rsidR="00900F5E" w:rsidRDefault="00900F5E" w:rsidP="000A02DD">
      <w:pPr>
        <w:pStyle w:val="BodyText"/>
        <w:spacing w:before="121"/>
        <w:ind w:left="709"/>
      </w:pPr>
      <w:r>
        <w:t>• Upper respiratory tract infections</w:t>
      </w:r>
    </w:p>
    <w:p w:rsidR="00900F5E" w:rsidRDefault="00900F5E" w:rsidP="000A02DD">
      <w:pPr>
        <w:pStyle w:val="BodyText"/>
        <w:spacing w:before="121"/>
        <w:ind w:left="709"/>
      </w:pPr>
      <w:r>
        <w:t>- Acute bacterial sinusitis</w:t>
      </w:r>
    </w:p>
    <w:p w:rsidR="00900F5E" w:rsidRDefault="00900F5E" w:rsidP="000A02DD">
      <w:pPr>
        <w:pStyle w:val="BodyText"/>
        <w:spacing w:before="121"/>
        <w:ind w:left="709"/>
      </w:pPr>
      <w:r>
        <w:t>- Tonsillitis</w:t>
      </w:r>
    </w:p>
    <w:p w:rsidR="00900F5E" w:rsidRDefault="00900F5E" w:rsidP="000A02DD">
      <w:pPr>
        <w:pStyle w:val="BodyText"/>
        <w:spacing w:before="121"/>
        <w:ind w:left="709"/>
      </w:pPr>
      <w:r>
        <w:t>• Lower respiratory tract infections</w:t>
      </w:r>
    </w:p>
    <w:p w:rsidR="00900F5E" w:rsidRDefault="00900F5E" w:rsidP="000A02DD">
      <w:pPr>
        <w:pStyle w:val="BodyText"/>
        <w:spacing w:before="121"/>
        <w:ind w:left="709"/>
      </w:pPr>
      <w:r>
        <w:t>- Bacterial pneumonia</w:t>
      </w:r>
    </w:p>
    <w:p w:rsidR="00900F5E" w:rsidRDefault="00900F5E" w:rsidP="000A02DD">
      <w:pPr>
        <w:pStyle w:val="BodyText"/>
        <w:spacing w:before="121"/>
        <w:ind w:left="709"/>
      </w:pPr>
      <w:r>
        <w:t>- Cefpodoxime might not be suitable option depending on the pathogen involved. Consideration should be given</w:t>
      </w:r>
      <w:r w:rsidR="00944A3B">
        <w:t xml:space="preserve"> </w:t>
      </w:r>
      <w:r>
        <w:t>to the official guidance on the appropriate use of antibacterial agents.</w:t>
      </w:r>
    </w:p>
    <w:p w:rsidR="004860FE" w:rsidRDefault="004860FE">
      <w:pPr>
        <w:pStyle w:val="BodyText"/>
        <w:rPr>
          <w:sz w:val="24"/>
        </w:rPr>
      </w:pPr>
    </w:p>
    <w:p w:rsidR="004860FE" w:rsidRPr="000A02DD" w:rsidRDefault="00E34B4E" w:rsidP="000A02DD">
      <w:pPr>
        <w:pStyle w:val="Heading3"/>
        <w:numPr>
          <w:ilvl w:val="1"/>
          <w:numId w:val="1"/>
        </w:numPr>
        <w:tabs>
          <w:tab w:val="left" w:pos="597"/>
        </w:tabs>
        <w:spacing w:before="0" w:line="276" w:lineRule="auto"/>
        <w:ind w:left="596" w:hanging="491"/>
      </w:pPr>
      <w:r>
        <w:t>Posology and method of</w:t>
      </w:r>
      <w:r w:rsidR="005F51C0">
        <w:t xml:space="preserve"> </w:t>
      </w:r>
      <w:r>
        <w:t>administration</w:t>
      </w:r>
    </w:p>
    <w:p w:rsidR="0045083E" w:rsidRDefault="0045083E" w:rsidP="000A02DD">
      <w:pPr>
        <w:pStyle w:val="BodyText"/>
        <w:spacing w:before="6" w:line="276" w:lineRule="auto"/>
        <w:ind w:left="567"/>
        <w:jc w:val="both"/>
      </w:pPr>
      <w:r w:rsidRPr="0045083E">
        <w:t>The tablets should be taken with food for optimum absorption.</w:t>
      </w:r>
    </w:p>
    <w:p w:rsidR="009F002A" w:rsidRPr="0045083E" w:rsidRDefault="009F002A" w:rsidP="000A02DD">
      <w:pPr>
        <w:pStyle w:val="BodyText"/>
        <w:spacing w:before="6"/>
        <w:ind w:left="567"/>
        <w:jc w:val="both"/>
      </w:pPr>
    </w:p>
    <w:p w:rsidR="0045083E" w:rsidRDefault="0045083E" w:rsidP="000A02DD">
      <w:pPr>
        <w:pStyle w:val="BodyText"/>
        <w:spacing w:before="6"/>
        <w:ind w:left="567"/>
        <w:jc w:val="both"/>
        <w:rPr>
          <w:b/>
          <w:bCs/>
        </w:rPr>
      </w:pPr>
      <w:r w:rsidRPr="00DC15B4">
        <w:rPr>
          <w:b/>
          <w:bCs/>
        </w:rPr>
        <w:t>Adults and adolescents with normal renal function:</w:t>
      </w:r>
    </w:p>
    <w:p w:rsidR="003C0937" w:rsidRPr="00DC15B4" w:rsidRDefault="003C0937" w:rsidP="000A02DD">
      <w:pPr>
        <w:pStyle w:val="BodyText"/>
        <w:spacing w:before="6"/>
        <w:ind w:left="567"/>
        <w:jc w:val="both"/>
        <w:rPr>
          <w:b/>
          <w:bCs/>
        </w:rPr>
      </w:pPr>
    </w:p>
    <w:p w:rsidR="0045083E" w:rsidRPr="0045083E" w:rsidRDefault="0045083E" w:rsidP="000A02DD">
      <w:pPr>
        <w:pStyle w:val="BodyText"/>
        <w:spacing w:before="6"/>
        <w:ind w:left="567"/>
        <w:jc w:val="both"/>
      </w:pPr>
      <w:r w:rsidRPr="00DC15B4">
        <w:rPr>
          <w:b/>
          <w:bCs/>
        </w:rPr>
        <w:t>Upper respiratory tract infections:</w:t>
      </w:r>
      <w:r w:rsidRPr="0045083E">
        <w:t xml:space="preserve"> Acute bacterial sinusitis: 200 mg twice daily.</w:t>
      </w:r>
    </w:p>
    <w:p w:rsidR="0045083E" w:rsidRPr="0045083E" w:rsidRDefault="0045083E" w:rsidP="000A02DD">
      <w:pPr>
        <w:pStyle w:val="BodyText"/>
        <w:spacing w:before="6"/>
        <w:ind w:left="567"/>
        <w:jc w:val="both"/>
      </w:pPr>
      <w:r w:rsidRPr="00DC15B4">
        <w:rPr>
          <w:b/>
          <w:bCs/>
        </w:rPr>
        <w:t>Tonsillitis:</w:t>
      </w:r>
      <w:r w:rsidRPr="0045083E">
        <w:t xml:space="preserve"> 100 mg twice daily.</w:t>
      </w:r>
    </w:p>
    <w:p w:rsidR="0045083E" w:rsidRPr="00DC15B4" w:rsidRDefault="0045083E" w:rsidP="000A02DD">
      <w:pPr>
        <w:pStyle w:val="BodyText"/>
        <w:spacing w:before="6"/>
        <w:ind w:left="567"/>
        <w:jc w:val="both"/>
        <w:rPr>
          <w:b/>
          <w:bCs/>
        </w:rPr>
      </w:pPr>
      <w:r w:rsidRPr="00DC15B4">
        <w:rPr>
          <w:b/>
          <w:bCs/>
        </w:rPr>
        <w:t>Lower respiratory tract infections:</w:t>
      </w:r>
    </w:p>
    <w:p w:rsidR="00DC15B4" w:rsidRDefault="0045083E" w:rsidP="000A02DD">
      <w:pPr>
        <w:pStyle w:val="BodyText"/>
        <w:spacing w:before="6"/>
        <w:ind w:left="567"/>
        <w:jc w:val="both"/>
      </w:pPr>
      <w:r w:rsidRPr="00DC15B4">
        <w:rPr>
          <w:b/>
          <w:bCs/>
        </w:rPr>
        <w:t xml:space="preserve">Acute exacerbation of chronic bronchitis: </w:t>
      </w:r>
      <w:r w:rsidRPr="00DC15B4">
        <w:t>200mg</w:t>
      </w:r>
      <w:r w:rsidRPr="0045083E">
        <w:t xml:space="preserve"> twice daily</w:t>
      </w:r>
    </w:p>
    <w:p w:rsidR="0045083E" w:rsidRPr="0045083E" w:rsidRDefault="0045083E" w:rsidP="000A02DD">
      <w:pPr>
        <w:pStyle w:val="BodyText"/>
        <w:spacing w:before="6"/>
        <w:ind w:left="567"/>
        <w:jc w:val="both"/>
      </w:pPr>
      <w:r w:rsidRPr="00DC15B4">
        <w:rPr>
          <w:b/>
          <w:bCs/>
        </w:rPr>
        <w:t>Bacterial pneumonia:</w:t>
      </w:r>
      <w:r w:rsidRPr="0045083E">
        <w:t xml:space="preserve"> 200mg twice daily</w:t>
      </w:r>
    </w:p>
    <w:p w:rsidR="0045083E" w:rsidRPr="00AB54E9" w:rsidRDefault="0045083E" w:rsidP="000A02DD">
      <w:pPr>
        <w:pStyle w:val="BodyText"/>
        <w:spacing w:before="6"/>
        <w:ind w:left="567"/>
        <w:jc w:val="both"/>
      </w:pPr>
    </w:p>
    <w:p w:rsidR="00AB54E9" w:rsidRPr="00DC15B4" w:rsidRDefault="00AB54E9" w:rsidP="000A02DD">
      <w:pPr>
        <w:pStyle w:val="BodyText"/>
        <w:spacing w:before="6"/>
        <w:ind w:left="567"/>
        <w:jc w:val="both"/>
        <w:rPr>
          <w:b/>
          <w:bCs/>
        </w:rPr>
      </w:pPr>
      <w:r w:rsidRPr="00DC15B4">
        <w:rPr>
          <w:b/>
          <w:bCs/>
        </w:rPr>
        <w:t>Elderly:</w:t>
      </w:r>
    </w:p>
    <w:p w:rsidR="00AB54E9" w:rsidRPr="00AB54E9" w:rsidRDefault="00AB54E9" w:rsidP="000A02DD">
      <w:pPr>
        <w:pStyle w:val="BodyText"/>
        <w:spacing w:before="6"/>
        <w:ind w:left="567"/>
        <w:jc w:val="both"/>
      </w:pPr>
      <w:r w:rsidRPr="00AB54E9">
        <w:t>It is not necessary to modify the dose in elderly patients with normal renal function.</w:t>
      </w:r>
    </w:p>
    <w:p w:rsidR="00DC15B4" w:rsidRDefault="00DC15B4" w:rsidP="000A02DD">
      <w:pPr>
        <w:pStyle w:val="BodyText"/>
        <w:spacing w:before="6"/>
        <w:ind w:left="567"/>
        <w:jc w:val="both"/>
        <w:rPr>
          <w:b/>
          <w:bCs/>
        </w:rPr>
      </w:pPr>
    </w:p>
    <w:p w:rsidR="00AB54E9" w:rsidRPr="00DC15B4" w:rsidRDefault="00AB54E9" w:rsidP="000A02DD">
      <w:pPr>
        <w:pStyle w:val="BodyText"/>
        <w:spacing w:before="6"/>
        <w:ind w:left="567"/>
        <w:jc w:val="both"/>
        <w:rPr>
          <w:b/>
          <w:bCs/>
        </w:rPr>
      </w:pPr>
      <w:r w:rsidRPr="00DC15B4">
        <w:rPr>
          <w:b/>
          <w:bCs/>
        </w:rPr>
        <w:t>Children:</w:t>
      </w:r>
    </w:p>
    <w:p w:rsidR="00AB54E9" w:rsidRPr="00AB54E9" w:rsidRDefault="00AB54E9" w:rsidP="000A02DD">
      <w:pPr>
        <w:pStyle w:val="BodyText"/>
        <w:spacing w:before="6"/>
        <w:ind w:left="567"/>
        <w:jc w:val="both"/>
      </w:pPr>
      <w:r w:rsidRPr="00AB54E9">
        <w:t>Pediatric formulation of cefpodoxime is available for infants and children.</w:t>
      </w:r>
    </w:p>
    <w:p w:rsidR="00DC15B4" w:rsidRDefault="00DC15B4" w:rsidP="000A02DD">
      <w:pPr>
        <w:pStyle w:val="BodyText"/>
        <w:spacing w:before="6"/>
        <w:ind w:left="567"/>
        <w:jc w:val="both"/>
      </w:pPr>
    </w:p>
    <w:p w:rsidR="00AB54E9" w:rsidRPr="00DC15B4" w:rsidRDefault="00AB54E9" w:rsidP="000A02DD">
      <w:pPr>
        <w:pStyle w:val="BodyText"/>
        <w:spacing w:before="6"/>
        <w:ind w:left="567"/>
        <w:jc w:val="both"/>
        <w:rPr>
          <w:b/>
          <w:bCs/>
        </w:rPr>
      </w:pPr>
      <w:r w:rsidRPr="00DC15B4">
        <w:rPr>
          <w:b/>
          <w:bCs/>
        </w:rPr>
        <w:t>Hepatic Impairment:</w:t>
      </w:r>
    </w:p>
    <w:p w:rsidR="00AB54E9" w:rsidRPr="00AB54E9" w:rsidRDefault="00AB54E9" w:rsidP="000A02DD">
      <w:pPr>
        <w:pStyle w:val="BodyText"/>
        <w:spacing w:before="6"/>
        <w:ind w:left="567"/>
        <w:jc w:val="both"/>
      </w:pPr>
      <w:r w:rsidRPr="00AB54E9">
        <w:t>The dosage does not require modification in cases of hepatic impairment.</w:t>
      </w:r>
    </w:p>
    <w:p w:rsidR="00DC15B4" w:rsidRDefault="00DC15B4" w:rsidP="000A02DD">
      <w:pPr>
        <w:pStyle w:val="BodyText"/>
        <w:spacing w:before="6"/>
        <w:ind w:left="567"/>
        <w:jc w:val="both"/>
        <w:rPr>
          <w:b/>
          <w:bCs/>
        </w:rPr>
      </w:pPr>
    </w:p>
    <w:p w:rsidR="00AB54E9" w:rsidRPr="00DC15B4" w:rsidRDefault="00AB54E9" w:rsidP="000A02DD">
      <w:pPr>
        <w:pStyle w:val="BodyText"/>
        <w:spacing w:before="6"/>
        <w:ind w:left="567"/>
        <w:jc w:val="both"/>
        <w:rPr>
          <w:b/>
          <w:bCs/>
        </w:rPr>
      </w:pPr>
      <w:r w:rsidRPr="00DC15B4">
        <w:rPr>
          <w:b/>
          <w:bCs/>
        </w:rPr>
        <w:t>Renal Impairment:</w:t>
      </w:r>
    </w:p>
    <w:p w:rsidR="00AB54E9" w:rsidRPr="00AB54E9" w:rsidRDefault="00AB54E9" w:rsidP="000A02DD">
      <w:pPr>
        <w:pStyle w:val="BodyText"/>
        <w:spacing w:before="6"/>
        <w:ind w:left="567"/>
        <w:jc w:val="both"/>
      </w:pPr>
      <w:r w:rsidRPr="00AB54E9">
        <w:t>The dosage of cefpodoxime does not require modification if creatinine clearance exceeds 40 ml/min. Below this</w:t>
      </w:r>
      <w:r w:rsidR="00DC15B4">
        <w:t xml:space="preserve"> </w:t>
      </w:r>
      <w:r w:rsidRPr="00AB54E9">
        <w:t>value, pharmacokinetic studies indicate an increase in plasma elimination half-life and the maximum plasma</w:t>
      </w:r>
      <w:r w:rsidR="00DC15B4">
        <w:t xml:space="preserve"> </w:t>
      </w:r>
      <w:r w:rsidRPr="00AB54E9">
        <w:t>concentrations, and hence the dosage should be adjusted appropriately.</w:t>
      </w:r>
    </w:p>
    <w:p w:rsidR="0045083E" w:rsidRDefault="0045083E" w:rsidP="000A02DD">
      <w:pPr>
        <w:pStyle w:val="BodyText"/>
        <w:spacing w:before="6"/>
        <w:ind w:left="567"/>
        <w:rPr>
          <w:sz w:val="30"/>
        </w:rPr>
      </w:pPr>
    </w:p>
    <w:p w:rsidR="00AB54E9" w:rsidRPr="00DC15B4" w:rsidRDefault="00AB54E9" w:rsidP="000A02DD">
      <w:pPr>
        <w:pStyle w:val="BodyText"/>
        <w:spacing w:before="6"/>
        <w:ind w:left="567"/>
        <w:jc w:val="both"/>
        <w:rPr>
          <w:b/>
          <w:bCs/>
        </w:rPr>
      </w:pPr>
      <w:r w:rsidRPr="00DC15B4">
        <w:rPr>
          <w:b/>
          <w:bCs/>
        </w:rPr>
        <w:lastRenderedPageBreak/>
        <w:t>CREATININE CLEARANCE (ml/min)</w:t>
      </w:r>
    </w:p>
    <w:p w:rsidR="00AB54E9" w:rsidRPr="00AB54E9" w:rsidRDefault="00AB54E9" w:rsidP="000A02DD">
      <w:pPr>
        <w:pStyle w:val="BodyText"/>
        <w:spacing w:before="6"/>
        <w:ind w:left="567"/>
        <w:jc w:val="both"/>
      </w:pPr>
      <w:r w:rsidRPr="00DC15B4">
        <w:rPr>
          <w:b/>
          <w:bCs/>
        </w:rPr>
        <w:t>39-10 :</w:t>
      </w:r>
      <w:r>
        <w:t xml:space="preserve"> </w:t>
      </w:r>
      <w:r w:rsidRPr="00AB54E9">
        <w:t>Single dose administered every 24 hours instead of twice a day (i.e half of the</w:t>
      </w:r>
    </w:p>
    <w:p w:rsidR="00AB54E9" w:rsidRPr="00AB54E9" w:rsidRDefault="00AB54E9" w:rsidP="000A02DD">
      <w:pPr>
        <w:pStyle w:val="BodyText"/>
        <w:spacing w:before="6"/>
        <w:ind w:left="567"/>
        <w:jc w:val="both"/>
      </w:pPr>
      <w:r w:rsidRPr="00AB54E9">
        <w:t>usual adult dose).</w:t>
      </w:r>
    </w:p>
    <w:p w:rsidR="00AB54E9" w:rsidRPr="00AB54E9" w:rsidRDefault="00AB54E9" w:rsidP="000A02DD">
      <w:pPr>
        <w:pStyle w:val="BodyText"/>
        <w:spacing w:before="6"/>
        <w:ind w:left="567"/>
        <w:jc w:val="both"/>
      </w:pPr>
      <w:r w:rsidRPr="00DC15B4">
        <w:rPr>
          <w:b/>
          <w:bCs/>
        </w:rPr>
        <w:t>&lt;10 :</w:t>
      </w:r>
      <w:r>
        <w:t xml:space="preserve"> </w:t>
      </w:r>
      <w:r w:rsidRPr="00AB54E9">
        <w:t>Single dose administered every 48 hours (i.e quarter of the usual adult dose).</w:t>
      </w:r>
    </w:p>
    <w:p w:rsidR="0045083E" w:rsidRPr="00AB54E9" w:rsidRDefault="00AB54E9" w:rsidP="000A02DD">
      <w:pPr>
        <w:pStyle w:val="BodyText"/>
        <w:spacing w:before="6"/>
        <w:ind w:left="567"/>
        <w:jc w:val="both"/>
      </w:pPr>
      <w:r w:rsidRPr="00DC15B4">
        <w:rPr>
          <w:b/>
          <w:bCs/>
        </w:rPr>
        <w:t>Haemodialysis Patients:</w:t>
      </w:r>
      <w:r>
        <w:t xml:space="preserve"> </w:t>
      </w:r>
      <w:r w:rsidRPr="00AB54E9">
        <w:t xml:space="preserve"> Single dose administered after each dialysis session 1.</w:t>
      </w:r>
    </w:p>
    <w:p w:rsidR="0045083E" w:rsidRPr="00DC15B4" w:rsidRDefault="0045083E" w:rsidP="000A02DD">
      <w:pPr>
        <w:pStyle w:val="BodyText"/>
        <w:spacing w:before="6"/>
        <w:ind w:left="567"/>
        <w:rPr>
          <w:szCs w:val="12"/>
        </w:rPr>
      </w:pPr>
    </w:p>
    <w:p w:rsidR="004860FE" w:rsidRDefault="00E34B4E" w:rsidP="000A02DD">
      <w:pPr>
        <w:pStyle w:val="BodyText"/>
        <w:ind w:left="567"/>
      </w:pPr>
      <w:r w:rsidRPr="00DC15B4">
        <w:rPr>
          <w:b/>
          <w:bCs/>
          <w:u w:val="single"/>
        </w:rPr>
        <w:t>Method of administration</w:t>
      </w:r>
      <w:r w:rsidR="00917F70" w:rsidRPr="00DC15B4">
        <w:rPr>
          <w:b/>
          <w:bCs/>
          <w:u w:val="single"/>
        </w:rPr>
        <w:t>:</w:t>
      </w:r>
      <w:r w:rsidR="00651E38">
        <w:t xml:space="preserve"> </w:t>
      </w:r>
      <w:r w:rsidR="00917F70" w:rsidRPr="00917F70">
        <w:t>Oral</w:t>
      </w:r>
    </w:p>
    <w:p w:rsidR="004860FE" w:rsidRDefault="004860FE">
      <w:pPr>
        <w:pStyle w:val="BodyText"/>
        <w:spacing w:before="3"/>
      </w:pPr>
    </w:p>
    <w:p w:rsidR="00624E36" w:rsidRDefault="00E34B4E" w:rsidP="000A02DD">
      <w:pPr>
        <w:pStyle w:val="Heading3"/>
        <w:numPr>
          <w:ilvl w:val="1"/>
          <w:numId w:val="1"/>
        </w:numPr>
        <w:tabs>
          <w:tab w:val="left" w:pos="567"/>
        </w:tabs>
        <w:spacing w:before="1"/>
        <w:ind w:left="649" w:hanging="544"/>
      </w:pPr>
      <w:r>
        <w:t>Contraindications</w:t>
      </w:r>
    </w:p>
    <w:p w:rsidR="00624E36" w:rsidRPr="00624E36" w:rsidRDefault="00624E36" w:rsidP="000A02DD">
      <w:pPr>
        <w:pStyle w:val="BodyText"/>
        <w:ind w:left="567"/>
      </w:pPr>
      <w:r w:rsidRPr="00624E36">
        <w:t>KALCEP-100 is contra-indicated in:</w:t>
      </w:r>
    </w:p>
    <w:p w:rsidR="00624E36" w:rsidRPr="00624E36" w:rsidRDefault="00624E36" w:rsidP="000A02DD">
      <w:pPr>
        <w:pStyle w:val="BodyText"/>
        <w:ind w:left="567"/>
      </w:pPr>
      <w:r w:rsidRPr="00624E36">
        <w:t>• Hypersensitivity to cefpodoxime, any other cephalosporins or to any of the excipients.</w:t>
      </w:r>
    </w:p>
    <w:p w:rsidR="004860FE" w:rsidRPr="00624E36" w:rsidRDefault="00624E36" w:rsidP="000A02DD">
      <w:pPr>
        <w:pStyle w:val="BodyText"/>
        <w:ind w:left="567"/>
      </w:pPr>
      <w:r w:rsidRPr="00624E36">
        <w:t>• Previous history of immediate and or severe hypersensitivity reaction (anaphylaxis) to penicillin or other betalactam</w:t>
      </w:r>
      <w:r w:rsidR="00D26682">
        <w:t xml:space="preserve"> </w:t>
      </w:r>
      <w:r w:rsidRPr="00624E36">
        <w:t>antibiotic.</w:t>
      </w:r>
    </w:p>
    <w:p w:rsidR="004860FE" w:rsidRDefault="00E34B4E">
      <w:pPr>
        <w:pStyle w:val="Heading3"/>
        <w:numPr>
          <w:ilvl w:val="1"/>
          <w:numId w:val="1"/>
        </w:numPr>
        <w:tabs>
          <w:tab w:val="left" w:pos="597"/>
        </w:tabs>
        <w:ind w:left="596" w:hanging="491"/>
      </w:pPr>
      <w:r>
        <w:t>Special warnings and precautions for</w:t>
      </w:r>
      <w:r w:rsidR="00D26682">
        <w:t xml:space="preserve"> </w:t>
      </w:r>
      <w:r>
        <w:t>use</w:t>
      </w:r>
    </w:p>
    <w:p w:rsidR="009B1188" w:rsidRPr="009B1188" w:rsidRDefault="009B1188" w:rsidP="000A02DD">
      <w:pPr>
        <w:pStyle w:val="BodyText"/>
        <w:numPr>
          <w:ilvl w:val="0"/>
          <w:numId w:val="2"/>
        </w:numPr>
        <w:ind w:hanging="207"/>
        <w:jc w:val="both"/>
        <w:rPr>
          <w:bCs/>
        </w:rPr>
      </w:pPr>
      <w:r w:rsidRPr="009B1188">
        <w:rPr>
          <w:bCs/>
        </w:rPr>
        <w:t>Cefpodoxime is not a preferred antibiotic for the treatment of staphylococcal pneumonia and should not</w:t>
      </w:r>
      <w:r>
        <w:rPr>
          <w:bCs/>
        </w:rPr>
        <w:t xml:space="preserve"> </w:t>
      </w:r>
      <w:r w:rsidRPr="009B1188">
        <w:rPr>
          <w:bCs/>
        </w:rPr>
        <w:t>be used in the treatment of atypical pneumonia caused by organisms such as Legionella, Mycoplasma</w:t>
      </w:r>
      <w:r>
        <w:rPr>
          <w:bCs/>
        </w:rPr>
        <w:t xml:space="preserve"> </w:t>
      </w:r>
      <w:r w:rsidRPr="009B1188">
        <w:rPr>
          <w:bCs/>
        </w:rPr>
        <w:t>and Chlamydia. Cefpodoxime is not recommended for the treatment of pneumonia due to S. pneumonia.</w:t>
      </w:r>
    </w:p>
    <w:p w:rsidR="009B1188" w:rsidRPr="009B1188" w:rsidRDefault="009B1188" w:rsidP="000A02DD">
      <w:pPr>
        <w:pStyle w:val="BodyText"/>
        <w:numPr>
          <w:ilvl w:val="0"/>
          <w:numId w:val="2"/>
        </w:numPr>
        <w:ind w:hanging="207"/>
        <w:jc w:val="both"/>
        <w:rPr>
          <w:bCs/>
        </w:rPr>
      </w:pPr>
      <w:r w:rsidRPr="009B1188">
        <w:rPr>
          <w:bCs/>
        </w:rPr>
        <w:t>As with all beta-lactam antibacterial agents, serious and occasionally fatal hypersensitivity reactions</w:t>
      </w:r>
      <w:r>
        <w:rPr>
          <w:bCs/>
        </w:rPr>
        <w:t xml:space="preserve"> </w:t>
      </w:r>
      <w:r w:rsidRPr="009B1188">
        <w:rPr>
          <w:bCs/>
        </w:rPr>
        <w:t>have been reported. In case of severe hypersensitivity reactions, treatment with cefpodoxime must be</w:t>
      </w:r>
      <w:r>
        <w:rPr>
          <w:bCs/>
        </w:rPr>
        <w:t xml:space="preserve"> </w:t>
      </w:r>
      <w:r w:rsidRPr="009B1188">
        <w:rPr>
          <w:bCs/>
        </w:rPr>
        <w:t>discontinued immediately and adequate emergency measures must be initiated.</w:t>
      </w:r>
    </w:p>
    <w:p w:rsidR="009B1188" w:rsidRPr="009B1188" w:rsidRDefault="009B1188" w:rsidP="000A02DD">
      <w:pPr>
        <w:pStyle w:val="BodyText"/>
        <w:numPr>
          <w:ilvl w:val="0"/>
          <w:numId w:val="2"/>
        </w:numPr>
        <w:ind w:hanging="207"/>
        <w:jc w:val="both"/>
        <w:rPr>
          <w:bCs/>
        </w:rPr>
      </w:pPr>
      <w:r w:rsidRPr="009B1188">
        <w:rPr>
          <w:bCs/>
        </w:rPr>
        <w:t>Before beginning treatment, it should be established whether the patient has a history of severe</w:t>
      </w:r>
      <w:r>
        <w:rPr>
          <w:bCs/>
        </w:rPr>
        <w:t xml:space="preserve"> </w:t>
      </w:r>
      <w:r w:rsidRPr="009B1188">
        <w:rPr>
          <w:bCs/>
        </w:rPr>
        <w:t>hypersensitivity reactions to cefpodoxime, to other cephalosporins or to any other type of beta-lactam</w:t>
      </w:r>
      <w:r>
        <w:rPr>
          <w:bCs/>
        </w:rPr>
        <w:t xml:space="preserve"> </w:t>
      </w:r>
      <w:r w:rsidRPr="009B1188">
        <w:rPr>
          <w:bCs/>
        </w:rPr>
        <w:t>agent. Caution should be used if cefpodoxime is given to patients with a history of non-severe</w:t>
      </w:r>
      <w:r>
        <w:rPr>
          <w:bCs/>
        </w:rPr>
        <w:t xml:space="preserve"> </w:t>
      </w:r>
      <w:r w:rsidRPr="009B1188">
        <w:rPr>
          <w:bCs/>
        </w:rPr>
        <w:t>hypersensitivity to other beta-lactam agents.</w:t>
      </w:r>
    </w:p>
    <w:p w:rsidR="004860FE" w:rsidRPr="009B1188" w:rsidRDefault="009B1188" w:rsidP="000A02DD">
      <w:pPr>
        <w:pStyle w:val="BodyText"/>
        <w:numPr>
          <w:ilvl w:val="0"/>
          <w:numId w:val="2"/>
        </w:numPr>
        <w:ind w:hanging="207"/>
        <w:jc w:val="both"/>
        <w:rPr>
          <w:bCs/>
        </w:rPr>
      </w:pPr>
      <w:r w:rsidRPr="009B1188">
        <w:rPr>
          <w:bCs/>
        </w:rPr>
        <w:t>In cases of severe renal insufficiency it may be necessary to reduce the dosage regimen dependent on the</w:t>
      </w:r>
      <w:r>
        <w:rPr>
          <w:bCs/>
        </w:rPr>
        <w:t xml:space="preserve"> </w:t>
      </w:r>
      <w:r w:rsidRPr="009B1188">
        <w:rPr>
          <w:bCs/>
        </w:rPr>
        <w:t>creatinine Clearance.</w:t>
      </w:r>
    </w:p>
    <w:p w:rsidR="004860FE" w:rsidRDefault="00E34B4E">
      <w:pPr>
        <w:pStyle w:val="ListParagraph"/>
        <w:numPr>
          <w:ilvl w:val="1"/>
          <w:numId w:val="1"/>
        </w:numPr>
        <w:tabs>
          <w:tab w:val="left" w:pos="484"/>
        </w:tabs>
        <w:ind w:left="483" w:hanging="378"/>
        <w:rPr>
          <w:b/>
          <w:sz w:val="20"/>
        </w:rPr>
      </w:pPr>
      <w:r>
        <w:rPr>
          <w:b/>
          <w:sz w:val="20"/>
        </w:rPr>
        <w:t>Interaction with other medicinal products and other forms of</w:t>
      </w:r>
      <w:r w:rsidR="006D58B3">
        <w:rPr>
          <w:b/>
          <w:sz w:val="20"/>
        </w:rPr>
        <w:t xml:space="preserve"> </w:t>
      </w:r>
      <w:r>
        <w:rPr>
          <w:b/>
          <w:sz w:val="20"/>
        </w:rPr>
        <w:t>interaction</w:t>
      </w:r>
    </w:p>
    <w:p w:rsidR="006D58B3" w:rsidRDefault="006D58B3" w:rsidP="006D58B3">
      <w:pPr>
        <w:pStyle w:val="BodyText"/>
        <w:numPr>
          <w:ilvl w:val="0"/>
          <w:numId w:val="3"/>
        </w:numPr>
        <w:spacing w:before="121"/>
        <w:jc w:val="both"/>
      </w:pPr>
      <w:r>
        <w:t>No clinically significant drug interactions have been reported during the course of clinical studies.</w:t>
      </w:r>
    </w:p>
    <w:p w:rsidR="006D58B3" w:rsidRDefault="006D58B3" w:rsidP="006D58B3">
      <w:pPr>
        <w:pStyle w:val="BodyText"/>
        <w:numPr>
          <w:ilvl w:val="0"/>
          <w:numId w:val="5"/>
        </w:numPr>
        <w:spacing w:before="121"/>
        <w:jc w:val="both"/>
      </w:pPr>
      <w:r>
        <w:t>Histamine H -antagonists and antacids reduce the bioavailability of cefpodoxime. Probenecid reduces the excretion of cephalosporins. Cephalosporins potentially enhance the anticoagulant effect of coumarins and reduce the contraceptive effect of oestrogens.</w:t>
      </w:r>
    </w:p>
    <w:p w:rsidR="006D58B3" w:rsidRDefault="006D58B3" w:rsidP="006D58B3">
      <w:pPr>
        <w:pStyle w:val="BodyText"/>
        <w:numPr>
          <w:ilvl w:val="0"/>
          <w:numId w:val="5"/>
        </w:numPr>
        <w:spacing w:before="121"/>
        <w:jc w:val="both"/>
      </w:pPr>
      <w:r>
        <w:t>Oral anticoagulants: Simultaneous administration of cefpodoxime with warfarin may augment its anti-coagulant effects. There have been many reports of increases in oral anti-coagulant activity in patients receiving antibacterial agents, including cephalosporins. The risk may vary with the underlying infection, age and general status of the patient so that the contribution of the cephalosporins to the increase in INR (international normalised ratio) is difficult to assess. It is recommended that the INR should be monitored frequently during and shortly after coadministration of cefpodoxime with an oral anti-coagulant agent. Studies have shown that bioavailability is decreased by approximately 30% when cefpodoxime is administered with drugs which neutralise gastric pH or inhibit acid secretions. Therefore, such drugs as antacids of the mineral type and H blockers such as ranitidine, which can cause an increase in gastric pH, should be taken 2 to 3 hours after Cefpodoxime administration.</w:t>
      </w:r>
    </w:p>
    <w:p w:rsidR="004860FE" w:rsidRDefault="004860FE">
      <w:pPr>
        <w:pStyle w:val="BodyText"/>
        <w:rPr>
          <w:sz w:val="24"/>
        </w:rPr>
      </w:pPr>
    </w:p>
    <w:p w:rsidR="004860FE" w:rsidRDefault="00E34B4E" w:rsidP="000A02DD">
      <w:pPr>
        <w:pStyle w:val="Heading3"/>
        <w:numPr>
          <w:ilvl w:val="1"/>
          <w:numId w:val="1"/>
        </w:numPr>
        <w:tabs>
          <w:tab w:val="left" w:pos="599"/>
        </w:tabs>
        <w:spacing w:before="0"/>
        <w:ind w:left="598" w:hanging="493"/>
      </w:pPr>
      <w:r>
        <w:t>Pregnancy and Lactation</w:t>
      </w:r>
    </w:p>
    <w:p w:rsidR="000A02DD" w:rsidRDefault="000A02DD" w:rsidP="007F5D3C">
      <w:pPr>
        <w:pStyle w:val="BodyText"/>
        <w:jc w:val="both"/>
        <w:rPr>
          <w:b/>
          <w:bCs/>
          <w:szCs w:val="16"/>
        </w:rPr>
      </w:pPr>
    </w:p>
    <w:p w:rsidR="007F5D3C" w:rsidRPr="007F5D3C" w:rsidRDefault="007F5D3C" w:rsidP="000A02DD">
      <w:pPr>
        <w:pStyle w:val="BodyText"/>
        <w:ind w:left="567"/>
        <w:jc w:val="both"/>
        <w:rPr>
          <w:b/>
          <w:bCs/>
          <w:szCs w:val="16"/>
        </w:rPr>
      </w:pPr>
      <w:r w:rsidRPr="007F5D3C">
        <w:rPr>
          <w:b/>
          <w:bCs/>
          <w:szCs w:val="16"/>
        </w:rPr>
        <w:t>Pregnancy:</w:t>
      </w:r>
    </w:p>
    <w:p w:rsidR="007F5D3C" w:rsidRPr="007F5D3C" w:rsidRDefault="007F5D3C" w:rsidP="000A02DD">
      <w:pPr>
        <w:pStyle w:val="BodyText"/>
        <w:ind w:left="567"/>
        <w:jc w:val="both"/>
        <w:rPr>
          <w:szCs w:val="16"/>
        </w:rPr>
      </w:pPr>
      <w:r w:rsidRPr="007F5D3C">
        <w:rPr>
          <w:szCs w:val="16"/>
        </w:rPr>
        <w:t>There are no or limited amount of data from the use of cefpodoxime in pregnant women. Animal studies do not</w:t>
      </w:r>
      <w:r>
        <w:rPr>
          <w:szCs w:val="16"/>
        </w:rPr>
        <w:t xml:space="preserve"> </w:t>
      </w:r>
      <w:r w:rsidRPr="007F5D3C">
        <w:rPr>
          <w:szCs w:val="16"/>
        </w:rPr>
        <w:t>indicate direct or indirect harmful effects with respect to reproductive toxicity. Due to the benefit of antibiotic</w:t>
      </w:r>
      <w:r>
        <w:rPr>
          <w:szCs w:val="16"/>
        </w:rPr>
        <w:t xml:space="preserve"> </w:t>
      </w:r>
      <w:r w:rsidRPr="007F5D3C">
        <w:rPr>
          <w:szCs w:val="16"/>
        </w:rPr>
        <w:t>treatment, the use of cefpodoxime may be considered during pregnancy if necessary.</w:t>
      </w:r>
      <w:r>
        <w:rPr>
          <w:szCs w:val="16"/>
        </w:rPr>
        <w:t xml:space="preserve"> </w:t>
      </w:r>
      <w:r w:rsidRPr="007F5D3C">
        <w:rPr>
          <w:szCs w:val="16"/>
        </w:rPr>
        <w:t>Caution should be exercised when prescribing to pregnant women.</w:t>
      </w:r>
    </w:p>
    <w:p w:rsidR="007F5D3C" w:rsidRDefault="007F5D3C" w:rsidP="000A02DD">
      <w:pPr>
        <w:pStyle w:val="BodyText"/>
        <w:ind w:left="567"/>
        <w:rPr>
          <w:b/>
          <w:bCs/>
          <w:szCs w:val="16"/>
        </w:rPr>
      </w:pPr>
    </w:p>
    <w:p w:rsidR="007F5D3C" w:rsidRPr="007F5D3C" w:rsidRDefault="007F5D3C" w:rsidP="000A02DD">
      <w:pPr>
        <w:pStyle w:val="BodyText"/>
        <w:ind w:left="567"/>
        <w:rPr>
          <w:b/>
          <w:bCs/>
          <w:szCs w:val="16"/>
        </w:rPr>
      </w:pPr>
      <w:r w:rsidRPr="007F5D3C">
        <w:rPr>
          <w:b/>
          <w:bCs/>
          <w:szCs w:val="16"/>
        </w:rPr>
        <w:t>Lactation:</w:t>
      </w:r>
    </w:p>
    <w:p w:rsidR="007F5D3C" w:rsidRDefault="007F5D3C" w:rsidP="00690B2F">
      <w:pPr>
        <w:pStyle w:val="BodyText"/>
        <w:ind w:left="567"/>
        <w:rPr>
          <w:szCs w:val="16"/>
        </w:rPr>
      </w:pPr>
      <w:r w:rsidRPr="007F5D3C">
        <w:rPr>
          <w:szCs w:val="16"/>
        </w:rPr>
        <w:t>Cefpodoxime is excreted in breast milk in small amounts. Cefpodoxime may be used during breast-</w:t>
      </w:r>
      <w:r w:rsidRPr="007F5D3C">
        <w:rPr>
          <w:szCs w:val="16"/>
        </w:rPr>
        <w:lastRenderedPageBreak/>
        <w:t>feeding.</w:t>
      </w:r>
      <w:r w:rsidR="00690B2F">
        <w:rPr>
          <w:szCs w:val="16"/>
        </w:rPr>
        <w:t xml:space="preserve"> </w:t>
      </w:r>
      <w:r w:rsidRPr="007F5D3C">
        <w:rPr>
          <w:szCs w:val="16"/>
        </w:rPr>
        <w:t>Continuation of breast-feeding should be questioned in case of diarrhoea or mucosal fungus infection in the</w:t>
      </w:r>
      <w:r w:rsidR="00690B2F">
        <w:rPr>
          <w:szCs w:val="16"/>
        </w:rPr>
        <w:t xml:space="preserve"> </w:t>
      </w:r>
      <w:r w:rsidRPr="007F5D3C">
        <w:rPr>
          <w:szCs w:val="16"/>
        </w:rPr>
        <w:t>Breast</w:t>
      </w:r>
      <w:r>
        <w:rPr>
          <w:szCs w:val="16"/>
        </w:rPr>
        <w:t xml:space="preserve"> </w:t>
      </w:r>
      <w:r w:rsidRPr="007F5D3C">
        <w:rPr>
          <w:szCs w:val="16"/>
        </w:rPr>
        <w:t>fed infant. The possibility of sensitisation should be borne in mind.</w:t>
      </w:r>
    </w:p>
    <w:p w:rsidR="005942CB" w:rsidRDefault="005942CB" w:rsidP="000A02DD">
      <w:pPr>
        <w:pStyle w:val="BodyText"/>
        <w:ind w:left="567"/>
        <w:rPr>
          <w:szCs w:val="16"/>
        </w:rPr>
      </w:pPr>
    </w:p>
    <w:p w:rsidR="005942CB" w:rsidRDefault="005942CB" w:rsidP="000A02DD">
      <w:pPr>
        <w:pStyle w:val="BodyText"/>
        <w:ind w:left="567"/>
        <w:rPr>
          <w:szCs w:val="16"/>
        </w:rPr>
      </w:pPr>
      <w:r w:rsidRPr="008F1F7E">
        <w:rPr>
          <w:b/>
          <w:bCs/>
          <w:szCs w:val="16"/>
        </w:rPr>
        <w:t>Fertility:</w:t>
      </w:r>
      <w:r>
        <w:rPr>
          <w:szCs w:val="16"/>
        </w:rPr>
        <w:t xml:space="preserve"> No data available</w:t>
      </w:r>
    </w:p>
    <w:p w:rsidR="000A02DD" w:rsidRPr="005942CB" w:rsidRDefault="000A02DD" w:rsidP="000A02DD">
      <w:pPr>
        <w:pStyle w:val="BodyText"/>
        <w:ind w:left="567"/>
        <w:rPr>
          <w:szCs w:val="16"/>
        </w:rPr>
      </w:pPr>
    </w:p>
    <w:p w:rsidR="004860FE" w:rsidRDefault="00E34B4E" w:rsidP="000A02DD">
      <w:pPr>
        <w:pStyle w:val="Heading3"/>
        <w:numPr>
          <w:ilvl w:val="1"/>
          <w:numId w:val="1"/>
        </w:numPr>
        <w:tabs>
          <w:tab w:val="left" w:pos="587"/>
        </w:tabs>
        <w:spacing w:before="0"/>
        <w:ind w:left="586" w:hanging="481"/>
      </w:pPr>
      <w:r>
        <w:t>Effects on ability to drive and use</w:t>
      </w:r>
      <w:r w:rsidR="0041509A">
        <w:t xml:space="preserve"> </w:t>
      </w:r>
      <w:r>
        <w:t>machines</w:t>
      </w:r>
    </w:p>
    <w:p w:rsidR="00AC70FD" w:rsidRDefault="00AC70FD"/>
    <w:p w:rsidR="004860FE" w:rsidRPr="000A02DD" w:rsidRDefault="006E2ABA" w:rsidP="000A02DD">
      <w:pPr>
        <w:rPr>
          <w:sz w:val="20"/>
          <w:szCs w:val="20"/>
        </w:rPr>
      </w:pPr>
      <w:r>
        <w:rPr>
          <w:sz w:val="20"/>
          <w:szCs w:val="20"/>
        </w:rPr>
        <w:t xml:space="preserve">  </w:t>
      </w:r>
      <w:r w:rsidR="000A02DD">
        <w:rPr>
          <w:sz w:val="20"/>
          <w:szCs w:val="20"/>
        </w:rPr>
        <w:t xml:space="preserve">        </w:t>
      </w:r>
      <w:r w:rsidR="00AC70FD" w:rsidRPr="00AC70FD">
        <w:rPr>
          <w:sz w:val="20"/>
          <w:szCs w:val="20"/>
        </w:rPr>
        <w:t>Attention should be drawn to the risk of dizzy sensations</w:t>
      </w:r>
      <w:r w:rsidR="00AC70FD">
        <w:rPr>
          <w:sz w:val="20"/>
          <w:szCs w:val="20"/>
        </w:rPr>
        <w:t>.</w:t>
      </w:r>
    </w:p>
    <w:p w:rsidR="004860FE" w:rsidRPr="000A02DD" w:rsidRDefault="00E34B4E" w:rsidP="000A02DD">
      <w:pPr>
        <w:pStyle w:val="Heading3"/>
        <w:numPr>
          <w:ilvl w:val="1"/>
          <w:numId w:val="1"/>
        </w:numPr>
        <w:tabs>
          <w:tab w:val="left" w:pos="644"/>
          <w:tab w:val="left" w:pos="645"/>
        </w:tabs>
        <w:spacing w:before="197"/>
        <w:ind w:left="644" w:hanging="539"/>
      </w:pPr>
      <w:r>
        <w:t>Undesirable effects</w:t>
      </w:r>
    </w:p>
    <w:p w:rsidR="00DE3B4E" w:rsidRPr="005353A6" w:rsidRDefault="00DE3B4E" w:rsidP="000A02DD">
      <w:pPr>
        <w:pStyle w:val="BodyText"/>
        <w:ind w:left="567"/>
        <w:rPr>
          <w:iCs/>
          <w:szCs w:val="14"/>
        </w:rPr>
      </w:pPr>
      <w:r w:rsidRPr="005353A6">
        <w:rPr>
          <w:iCs/>
          <w:szCs w:val="14"/>
        </w:rPr>
        <w:t>Adverse drug reactions are listed below by system organ class and frequency. Frequencies are defined as:</w:t>
      </w:r>
    </w:p>
    <w:p w:rsidR="00DE3B4E" w:rsidRPr="005353A6" w:rsidRDefault="00DE3B4E" w:rsidP="000A02DD">
      <w:pPr>
        <w:pStyle w:val="BodyText"/>
        <w:ind w:left="567"/>
        <w:rPr>
          <w:iCs/>
          <w:szCs w:val="14"/>
        </w:rPr>
      </w:pPr>
      <w:r w:rsidRPr="005353A6">
        <w:rPr>
          <w:iCs/>
          <w:szCs w:val="14"/>
        </w:rPr>
        <w:t>Very common (≥1/10)</w:t>
      </w:r>
    </w:p>
    <w:p w:rsidR="00DE3B4E" w:rsidRPr="005353A6" w:rsidRDefault="00DE3B4E" w:rsidP="000A02DD">
      <w:pPr>
        <w:pStyle w:val="BodyText"/>
        <w:ind w:left="567"/>
        <w:rPr>
          <w:iCs/>
          <w:szCs w:val="14"/>
        </w:rPr>
      </w:pPr>
      <w:r w:rsidRPr="005353A6">
        <w:rPr>
          <w:iCs/>
          <w:szCs w:val="14"/>
        </w:rPr>
        <w:t>Common (≥1/100 to &lt;1/10)</w:t>
      </w:r>
    </w:p>
    <w:p w:rsidR="00DE3B4E" w:rsidRPr="005353A6" w:rsidRDefault="00DE3B4E" w:rsidP="000A02DD">
      <w:pPr>
        <w:pStyle w:val="BodyText"/>
        <w:ind w:left="567"/>
        <w:rPr>
          <w:iCs/>
          <w:szCs w:val="14"/>
        </w:rPr>
      </w:pPr>
      <w:r w:rsidRPr="005353A6">
        <w:rPr>
          <w:iCs/>
          <w:szCs w:val="14"/>
        </w:rPr>
        <w:t>Uncommon (≥1/1,000 to &lt;1/100)</w:t>
      </w:r>
    </w:p>
    <w:p w:rsidR="00DE3B4E" w:rsidRPr="005353A6" w:rsidRDefault="00DE3B4E" w:rsidP="000A02DD">
      <w:pPr>
        <w:pStyle w:val="BodyText"/>
        <w:ind w:left="567"/>
        <w:rPr>
          <w:iCs/>
          <w:szCs w:val="14"/>
        </w:rPr>
      </w:pPr>
      <w:r w:rsidRPr="005353A6">
        <w:rPr>
          <w:iCs/>
          <w:szCs w:val="14"/>
        </w:rPr>
        <w:t>Rare (≥1/10,000 to &lt;1/1,000)</w:t>
      </w:r>
    </w:p>
    <w:p w:rsidR="00DE3B4E" w:rsidRPr="005353A6" w:rsidRDefault="00DE3B4E" w:rsidP="000A02DD">
      <w:pPr>
        <w:pStyle w:val="BodyText"/>
        <w:ind w:left="567"/>
        <w:rPr>
          <w:iCs/>
          <w:szCs w:val="14"/>
        </w:rPr>
      </w:pPr>
      <w:r w:rsidRPr="005353A6">
        <w:rPr>
          <w:iCs/>
          <w:szCs w:val="14"/>
        </w:rPr>
        <w:t>Very rare (&lt;1/10,000), not known (cannot be estimated from the available data)</w:t>
      </w:r>
    </w:p>
    <w:p w:rsidR="00DE3B4E" w:rsidRPr="005353A6" w:rsidRDefault="00DE3B4E" w:rsidP="000A02DD">
      <w:pPr>
        <w:pStyle w:val="BodyText"/>
        <w:ind w:left="567"/>
        <w:rPr>
          <w:iCs/>
          <w:szCs w:val="14"/>
        </w:rPr>
      </w:pPr>
    </w:p>
    <w:p w:rsidR="00DE3B4E" w:rsidRPr="005353A6" w:rsidRDefault="00DE3B4E" w:rsidP="000A02DD">
      <w:pPr>
        <w:pStyle w:val="BodyText"/>
        <w:ind w:left="567"/>
        <w:rPr>
          <w:b/>
          <w:bCs/>
          <w:iCs/>
          <w:szCs w:val="14"/>
        </w:rPr>
      </w:pPr>
      <w:r w:rsidRPr="005353A6">
        <w:rPr>
          <w:b/>
          <w:bCs/>
          <w:iCs/>
          <w:szCs w:val="14"/>
        </w:rPr>
        <w:t>Blood and lymphatic system disorders</w:t>
      </w:r>
    </w:p>
    <w:p w:rsidR="00DE3B4E" w:rsidRPr="005353A6" w:rsidRDefault="00DE3B4E" w:rsidP="000A02DD">
      <w:pPr>
        <w:pStyle w:val="BodyText"/>
        <w:ind w:left="567"/>
        <w:rPr>
          <w:iCs/>
          <w:szCs w:val="14"/>
        </w:rPr>
      </w:pPr>
      <w:r w:rsidRPr="005353A6">
        <w:rPr>
          <w:iCs/>
          <w:szCs w:val="14"/>
        </w:rPr>
        <w:t>Rare: Haematological disorders such as reduction in haemoglobin, thrombocytosis, thrombocytopenia,</w:t>
      </w:r>
    </w:p>
    <w:p w:rsidR="00DE3B4E" w:rsidRPr="005353A6" w:rsidRDefault="00DE3B4E" w:rsidP="000A02DD">
      <w:pPr>
        <w:pStyle w:val="BodyText"/>
        <w:ind w:left="567"/>
        <w:rPr>
          <w:iCs/>
          <w:szCs w:val="14"/>
        </w:rPr>
      </w:pPr>
      <w:r w:rsidRPr="005353A6">
        <w:rPr>
          <w:iCs/>
          <w:szCs w:val="14"/>
        </w:rPr>
        <w:t>leucopenia and eosinophilia.</w:t>
      </w:r>
    </w:p>
    <w:p w:rsidR="00DE3B4E" w:rsidRPr="005353A6" w:rsidRDefault="00DE3B4E" w:rsidP="000A02DD">
      <w:pPr>
        <w:pStyle w:val="BodyText"/>
        <w:ind w:left="567"/>
        <w:rPr>
          <w:iCs/>
          <w:szCs w:val="14"/>
        </w:rPr>
      </w:pPr>
      <w:r w:rsidRPr="005353A6">
        <w:rPr>
          <w:iCs/>
          <w:szCs w:val="14"/>
        </w:rPr>
        <w:t>Very rare: Haemolytic anaemia.</w:t>
      </w:r>
    </w:p>
    <w:p w:rsidR="00DE3B4E" w:rsidRPr="005353A6" w:rsidRDefault="00DE3B4E" w:rsidP="000A02DD">
      <w:pPr>
        <w:pStyle w:val="BodyText"/>
        <w:ind w:left="567"/>
        <w:rPr>
          <w:b/>
          <w:bCs/>
          <w:iCs/>
          <w:szCs w:val="14"/>
        </w:rPr>
      </w:pPr>
      <w:r w:rsidRPr="005353A6">
        <w:rPr>
          <w:b/>
          <w:bCs/>
          <w:iCs/>
          <w:szCs w:val="14"/>
        </w:rPr>
        <w:t>Nervous system disorders</w:t>
      </w:r>
    </w:p>
    <w:p w:rsidR="00DE3B4E" w:rsidRPr="005353A6" w:rsidRDefault="00DE3B4E" w:rsidP="000A02DD">
      <w:pPr>
        <w:pStyle w:val="BodyText"/>
        <w:ind w:left="567"/>
        <w:rPr>
          <w:iCs/>
          <w:szCs w:val="14"/>
        </w:rPr>
      </w:pPr>
      <w:r w:rsidRPr="005353A6">
        <w:rPr>
          <w:iCs/>
          <w:szCs w:val="14"/>
        </w:rPr>
        <w:t>Uncommon: Headache, paraesthesia, dizziness</w:t>
      </w:r>
    </w:p>
    <w:p w:rsidR="00DE3B4E" w:rsidRPr="005353A6" w:rsidRDefault="00DE3B4E" w:rsidP="000A02DD">
      <w:pPr>
        <w:pStyle w:val="BodyText"/>
        <w:ind w:left="567"/>
        <w:rPr>
          <w:b/>
          <w:bCs/>
          <w:iCs/>
          <w:szCs w:val="14"/>
        </w:rPr>
      </w:pPr>
      <w:r w:rsidRPr="005353A6">
        <w:rPr>
          <w:b/>
          <w:bCs/>
          <w:iCs/>
          <w:szCs w:val="14"/>
        </w:rPr>
        <w:t>Ear and labyrinth disorders</w:t>
      </w:r>
    </w:p>
    <w:p w:rsidR="00DE3B4E" w:rsidRPr="005353A6" w:rsidRDefault="00DE3B4E" w:rsidP="000A02DD">
      <w:pPr>
        <w:pStyle w:val="BodyText"/>
        <w:ind w:left="567"/>
        <w:rPr>
          <w:iCs/>
          <w:szCs w:val="14"/>
        </w:rPr>
      </w:pPr>
      <w:r w:rsidRPr="005353A6">
        <w:rPr>
          <w:iCs/>
          <w:szCs w:val="14"/>
        </w:rPr>
        <w:t>Uncommon: Tinnitus</w:t>
      </w:r>
    </w:p>
    <w:p w:rsidR="00DE3B4E" w:rsidRPr="005353A6" w:rsidRDefault="00DE3B4E" w:rsidP="000A02DD">
      <w:pPr>
        <w:pStyle w:val="BodyText"/>
        <w:ind w:left="567"/>
        <w:rPr>
          <w:b/>
          <w:bCs/>
          <w:iCs/>
          <w:szCs w:val="14"/>
        </w:rPr>
      </w:pPr>
      <w:r w:rsidRPr="005353A6">
        <w:rPr>
          <w:b/>
          <w:bCs/>
          <w:iCs/>
          <w:szCs w:val="14"/>
        </w:rPr>
        <w:t>Gastrointestinal disorders</w:t>
      </w:r>
    </w:p>
    <w:p w:rsidR="00DE3B4E" w:rsidRPr="005353A6" w:rsidRDefault="00DE3B4E" w:rsidP="000A02DD">
      <w:pPr>
        <w:pStyle w:val="BodyText"/>
        <w:ind w:left="567"/>
        <w:rPr>
          <w:iCs/>
          <w:szCs w:val="14"/>
        </w:rPr>
      </w:pPr>
      <w:r w:rsidRPr="005353A6">
        <w:rPr>
          <w:iCs/>
          <w:szCs w:val="14"/>
        </w:rPr>
        <w:t>Common: Gastric pressure, nausea, vomiting, abdominal pain, flatulence, diarrhoea.</w:t>
      </w:r>
    </w:p>
    <w:p w:rsidR="00DE3B4E" w:rsidRPr="005353A6" w:rsidRDefault="00DE3B4E" w:rsidP="000A02DD">
      <w:pPr>
        <w:pStyle w:val="BodyText"/>
        <w:ind w:left="567"/>
        <w:rPr>
          <w:iCs/>
          <w:szCs w:val="14"/>
        </w:rPr>
      </w:pPr>
      <w:r w:rsidRPr="005353A6">
        <w:rPr>
          <w:iCs/>
          <w:szCs w:val="14"/>
        </w:rPr>
        <w:t>Bloody diarrhoea can occur as a symptom of enterocolitis.</w:t>
      </w:r>
    </w:p>
    <w:p w:rsidR="00DE3B4E" w:rsidRPr="005353A6" w:rsidRDefault="00DE3B4E" w:rsidP="000A02DD">
      <w:pPr>
        <w:pStyle w:val="BodyText"/>
        <w:ind w:left="567"/>
        <w:rPr>
          <w:iCs/>
          <w:szCs w:val="14"/>
        </w:rPr>
      </w:pPr>
      <w:r w:rsidRPr="005353A6">
        <w:rPr>
          <w:iCs/>
          <w:szCs w:val="14"/>
        </w:rPr>
        <w:t>The possibility of pseudomembranous enterocolitis should be considered if severe or persistent diarrhoea occurs during or after treatment.</w:t>
      </w:r>
    </w:p>
    <w:p w:rsidR="00DE3B4E" w:rsidRPr="005353A6" w:rsidRDefault="00DE3B4E" w:rsidP="000A02DD">
      <w:pPr>
        <w:pStyle w:val="BodyText"/>
        <w:ind w:left="567"/>
        <w:rPr>
          <w:b/>
          <w:bCs/>
          <w:iCs/>
          <w:szCs w:val="14"/>
        </w:rPr>
      </w:pPr>
      <w:r w:rsidRPr="005353A6">
        <w:rPr>
          <w:b/>
          <w:bCs/>
          <w:iCs/>
          <w:szCs w:val="14"/>
        </w:rPr>
        <w:t>Metabolism and nutrition disorders</w:t>
      </w:r>
    </w:p>
    <w:p w:rsidR="00DE3B4E" w:rsidRPr="005353A6" w:rsidRDefault="00DE3B4E" w:rsidP="000A02DD">
      <w:pPr>
        <w:pStyle w:val="BodyText"/>
        <w:ind w:left="567"/>
        <w:rPr>
          <w:iCs/>
          <w:szCs w:val="14"/>
        </w:rPr>
      </w:pPr>
      <w:r w:rsidRPr="005353A6">
        <w:rPr>
          <w:iCs/>
          <w:szCs w:val="14"/>
        </w:rPr>
        <w:t>Common: Loss of appetite</w:t>
      </w:r>
    </w:p>
    <w:p w:rsidR="00DE3B4E" w:rsidRPr="005353A6" w:rsidRDefault="00DE3B4E" w:rsidP="000A02DD">
      <w:pPr>
        <w:pStyle w:val="BodyText"/>
        <w:ind w:left="567"/>
        <w:rPr>
          <w:b/>
          <w:bCs/>
          <w:iCs/>
          <w:szCs w:val="14"/>
        </w:rPr>
      </w:pPr>
      <w:r w:rsidRPr="005353A6">
        <w:rPr>
          <w:b/>
          <w:bCs/>
          <w:iCs/>
          <w:szCs w:val="14"/>
        </w:rPr>
        <w:t>Immune system disorders</w:t>
      </w:r>
    </w:p>
    <w:p w:rsidR="00DE3B4E" w:rsidRPr="005353A6" w:rsidRDefault="00DE3B4E" w:rsidP="000A02DD">
      <w:pPr>
        <w:pStyle w:val="BodyText"/>
        <w:ind w:left="567"/>
        <w:rPr>
          <w:iCs/>
          <w:szCs w:val="14"/>
        </w:rPr>
      </w:pPr>
      <w:r w:rsidRPr="005353A6">
        <w:rPr>
          <w:iCs/>
          <w:szCs w:val="14"/>
        </w:rPr>
        <w:t>Hypersensitivity reactions of all degrees of severity have been observed.</w:t>
      </w:r>
    </w:p>
    <w:p w:rsidR="00DE3B4E" w:rsidRPr="005353A6" w:rsidRDefault="00DE3B4E" w:rsidP="000A02DD">
      <w:pPr>
        <w:pStyle w:val="BodyText"/>
        <w:ind w:left="567"/>
        <w:rPr>
          <w:iCs/>
          <w:szCs w:val="14"/>
        </w:rPr>
      </w:pPr>
      <w:r w:rsidRPr="005353A6">
        <w:rPr>
          <w:iCs/>
          <w:szCs w:val="14"/>
        </w:rPr>
        <w:t>Very rare: anaphylactic reactions, bronchospasm, purpura and angioedema.</w:t>
      </w:r>
    </w:p>
    <w:p w:rsidR="00DE3B4E" w:rsidRPr="005353A6" w:rsidRDefault="00DE3B4E" w:rsidP="000A02DD">
      <w:pPr>
        <w:pStyle w:val="BodyText"/>
        <w:ind w:left="567"/>
        <w:rPr>
          <w:b/>
          <w:bCs/>
          <w:iCs/>
          <w:szCs w:val="14"/>
        </w:rPr>
      </w:pPr>
      <w:r w:rsidRPr="005353A6">
        <w:rPr>
          <w:b/>
          <w:bCs/>
          <w:iCs/>
          <w:szCs w:val="14"/>
        </w:rPr>
        <w:t>Renal and urinary disorders</w:t>
      </w:r>
    </w:p>
    <w:p w:rsidR="00DE3B4E" w:rsidRPr="005353A6" w:rsidRDefault="00DE3B4E" w:rsidP="000A02DD">
      <w:pPr>
        <w:pStyle w:val="BodyText"/>
        <w:ind w:left="567"/>
        <w:rPr>
          <w:iCs/>
          <w:szCs w:val="14"/>
        </w:rPr>
      </w:pPr>
      <w:r w:rsidRPr="005353A6">
        <w:rPr>
          <w:iCs/>
          <w:szCs w:val="14"/>
        </w:rPr>
        <w:t>Very rare: Slight increases in blood urea and creatinine</w:t>
      </w:r>
    </w:p>
    <w:p w:rsidR="00DE3B4E" w:rsidRPr="005353A6" w:rsidRDefault="00DE3B4E" w:rsidP="000A02DD">
      <w:pPr>
        <w:pStyle w:val="BodyText"/>
        <w:ind w:left="567"/>
        <w:rPr>
          <w:b/>
          <w:bCs/>
          <w:iCs/>
          <w:szCs w:val="14"/>
        </w:rPr>
      </w:pPr>
      <w:r w:rsidRPr="005353A6">
        <w:rPr>
          <w:b/>
          <w:bCs/>
          <w:iCs/>
          <w:szCs w:val="14"/>
        </w:rPr>
        <w:t>Hepato-biliary disorders</w:t>
      </w:r>
    </w:p>
    <w:p w:rsidR="00DE3B4E" w:rsidRPr="005353A6" w:rsidRDefault="00DE3B4E" w:rsidP="000A02DD">
      <w:pPr>
        <w:pStyle w:val="BodyText"/>
        <w:ind w:left="567"/>
        <w:rPr>
          <w:iCs/>
          <w:szCs w:val="14"/>
        </w:rPr>
      </w:pPr>
      <w:r w:rsidRPr="005353A6">
        <w:rPr>
          <w:iCs/>
          <w:szCs w:val="14"/>
        </w:rPr>
        <w:t>Rare: Transient moderate elevations of ASAT, ALAT and alkaline phosphatase and/or bilirubin. These</w:t>
      </w:r>
    </w:p>
    <w:p w:rsidR="00DE3B4E" w:rsidRPr="005353A6" w:rsidRDefault="00DE3B4E" w:rsidP="000A02DD">
      <w:pPr>
        <w:pStyle w:val="BodyText"/>
        <w:ind w:left="567"/>
        <w:rPr>
          <w:iCs/>
          <w:szCs w:val="14"/>
        </w:rPr>
      </w:pPr>
      <w:r w:rsidRPr="005353A6">
        <w:rPr>
          <w:iCs/>
          <w:szCs w:val="14"/>
        </w:rPr>
        <w:t>laboratory abnormalities which may be explained by the infection,</w:t>
      </w:r>
    </w:p>
    <w:p w:rsidR="00DE3B4E" w:rsidRPr="005353A6" w:rsidRDefault="00DE3B4E" w:rsidP="000A02DD">
      <w:pPr>
        <w:pStyle w:val="BodyText"/>
        <w:ind w:left="567"/>
        <w:rPr>
          <w:iCs/>
          <w:szCs w:val="14"/>
        </w:rPr>
      </w:pPr>
      <w:r w:rsidRPr="005353A6">
        <w:rPr>
          <w:iCs/>
          <w:szCs w:val="14"/>
        </w:rPr>
        <w:t>may rarely exceed twice the upper limit of the named range and elicit a pattern of liver injury, usually</w:t>
      </w:r>
    </w:p>
    <w:p w:rsidR="00DE3B4E" w:rsidRPr="005353A6" w:rsidRDefault="00DE3B4E" w:rsidP="000A02DD">
      <w:pPr>
        <w:pStyle w:val="BodyText"/>
        <w:ind w:left="567"/>
        <w:rPr>
          <w:iCs/>
          <w:szCs w:val="14"/>
        </w:rPr>
      </w:pPr>
      <w:r w:rsidRPr="005353A6">
        <w:rPr>
          <w:iCs/>
          <w:szCs w:val="14"/>
        </w:rPr>
        <w:t>cholestatic and most often asymptomatic.</w:t>
      </w:r>
    </w:p>
    <w:p w:rsidR="00DE3B4E" w:rsidRPr="005353A6" w:rsidRDefault="00DE3B4E" w:rsidP="000A02DD">
      <w:pPr>
        <w:pStyle w:val="BodyText"/>
        <w:ind w:left="567"/>
        <w:rPr>
          <w:iCs/>
          <w:szCs w:val="14"/>
        </w:rPr>
      </w:pPr>
      <w:r w:rsidRPr="005353A6">
        <w:rPr>
          <w:iCs/>
          <w:szCs w:val="14"/>
        </w:rPr>
        <w:t>Very rare: liver damage</w:t>
      </w:r>
    </w:p>
    <w:p w:rsidR="00DE3B4E" w:rsidRPr="005353A6" w:rsidRDefault="00DE3B4E" w:rsidP="000A02DD">
      <w:pPr>
        <w:pStyle w:val="BodyText"/>
        <w:ind w:left="567"/>
        <w:rPr>
          <w:b/>
          <w:bCs/>
          <w:iCs/>
          <w:szCs w:val="14"/>
        </w:rPr>
      </w:pPr>
      <w:r w:rsidRPr="005353A6">
        <w:rPr>
          <w:b/>
          <w:bCs/>
          <w:iCs/>
          <w:szCs w:val="14"/>
        </w:rPr>
        <w:t>Skin and subcutaneous tissue disorders</w:t>
      </w:r>
    </w:p>
    <w:p w:rsidR="00DE3B4E" w:rsidRPr="005353A6" w:rsidRDefault="00DE3B4E" w:rsidP="000A02DD">
      <w:pPr>
        <w:pStyle w:val="BodyText"/>
        <w:ind w:left="567"/>
        <w:rPr>
          <w:iCs/>
          <w:szCs w:val="14"/>
        </w:rPr>
      </w:pPr>
      <w:r w:rsidRPr="005353A6">
        <w:rPr>
          <w:iCs/>
          <w:szCs w:val="14"/>
        </w:rPr>
        <w:t>Uncommon: Hypersensitivity mucocutaneous reactions, rash, urticaria, pruritus</w:t>
      </w:r>
    </w:p>
    <w:p w:rsidR="00DE3B4E" w:rsidRPr="005353A6" w:rsidRDefault="00DE3B4E" w:rsidP="000A02DD">
      <w:pPr>
        <w:pStyle w:val="BodyText"/>
        <w:ind w:left="567"/>
        <w:rPr>
          <w:iCs/>
          <w:szCs w:val="14"/>
        </w:rPr>
      </w:pPr>
      <w:r w:rsidRPr="005353A6">
        <w:rPr>
          <w:iCs/>
          <w:szCs w:val="14"/>
        </w:rPr>
        <w:t>Very rare: Stevens- Johnson syndrome, toxic epidermal necrolysis and erythema multiforme</w:t>
      </w:r>
    </w:p>
    <w:p w:rsidR="00DE3B4E" w:rsidRPr="005353A6" w:rsidRDefault="00DE3B4E" w:rsidP="000A02DD">
      <w:pPr>
        <w:pStyle w:val="BodyText"/>
        <w:ind w:left="567"/>
        <w:rPr>
          <w:b/>
          <w:bCs/>
          <w:iCs/>
          <w:szCs w:val="14"/>
        </w:rPr>
      </w:pPr>
      <w:r w:rsidRPr="005353A6">
        <w:rPr>
          <w:b/>
          <w:bCs/>
          <w:iCs/>
          <w:szCs w:val="14"/>
        </w:rPr>
        <w:t>Infections and infestations</w:t>
      </w:r>
    </w:p>
    <w:p w:rsidR="00DE3B4E" w:rsidRDefault="00DE3B4E" w:rsidP="000A02DD">
      <w:pPr>
        <w:pStyle w:val="BodyText"/>
        <w:ind w:left="567"/>
        <w:rPr>
          <w:iCs/>
          <w:szCs w:val="14"/>
        </w:rPr>
      </w:pPr>
      <w:r w:rsidRPr="005353A6">
        <w:rPr>
          <w:iCs/>
          <w:szCs w:val="14"/>
        </w:rPr>
        <w:t>There can be multiplication of non-sensitive micro-organisms (see section 4.4)</w:t>
      </w:r>
    </w:p>
    <w:p w:rsidR="000A02DD" w:rsidRPr="000A02DD" w:rsidRDefault="000A02DD" w:rsidP="000A02DD">
      <w:pPr>
        <w:pStyle w:val="BodyText"/>
        <w:ind w:left="567"/>
        <w:rPr>
          <w:iCs/>
          <w:sz w:val="26"/>
        </w:rPr>
      </w:pPr>
    </w:p>
    <w:p w:rsidR="004860FE" w:rsidRDefault="000A02DD" w:rsidP="000A02DD">
      <w:pPr>
        <w:pStyle w:val="Heading3"/>
        <w:numPr>
          <w:ilvl w:val="1"/>
          <w:numId w:val="1"/>
        </w:numPr>
        <w:tabs>
          <w:tab w:val="left" w:pos="426"/>
          <w:tab w:val="left" w:pos="677"/>
        </w:tabs>
        <w:spacing w:before="0"/>
        <w:ind w:left="678" w:hanging="573"/>
      </w:pPr>
      <w:r>
        <w:t xml:space="preserve">  </w:t>
      </w:r>
      <w:r w:rsidR="00E34B4E">
        <w:t>Overdose</w:t>
      </w:r>
    </w:p>
    <w:p w:rsidR="000A02DD" w:rsidRDefault="000A02DD" w:rsidP="004A2F2F">
      <w:pPr>
        <w:pStyle w:val="BodyText"/>
        <w:ind w:left="142"/>
        <w:jc w:val="both"/>
      </w:pPr>
    </w:p>
    <w:p w:rsidR="004A2F2F" w:rsidRPr="004A2F2F" w:rsidRDefault="004A2F2F" w:rsidP="000A02DD">
      <w:pPr>
        <w:pStyle w:val="BodyText"/>
        <w:ind w:left="567"/>
        <w:jc w:val="both"/>
      </w:pPr>
      <w:r w:rsidRPr="004A2F2F">
        <w:t>In the event of overdosage with cefpodoxime, supportive and symptomatic therapy is indicated.</w:t>
      </w:r>
    </w:p>
    <w:p w:rsidR="004860FE" w:rsidRPr="004A2F2F" w:rsidRDefault="004A2F2F" w:rsidP="000A02DD">
      <w:pPr>
        <w:pStyle w:val="BodyText"/>
        <w:ind w:left="567"/>
        <w:jc w:val="both"/>
      </w:pPr>
      <w:r w:rsidRPr="004A2F2F">
        <w:t>In cases of overdosage, particularly in patients with renal insufficiency, encephalopathy may occur. The</w:t>
      </w:r>
      <w:r w:rsidR="000A02DD">
        <w:t xml:space="preserve"> </w:t>
      </w:r>
      <w:r w:rsidRPr="004A2F2F">
        <w:t>encephalopathy is usually reversible once cefpodoxime plasma levels have fallen.</w:t>
      </w:r>
    </w:p>
    <w:p w:rsidR="004860FE" w:rsidRDefault="004860FE">
      <w:pPr>
        <w:pStyle w:val="BodyText"/>
        <w:rPr>
          <w:sz w:val="24"/>
        </w:rPr>
      </w:pPr>
    </w:p>
    <w:p w:rsidR="004860FE" w:rsidRDefault="00E34B4E">
      <w:pPr>
        <w:pStyle w:val="Heading3"/>
        <w:numPr>
          <w:ilvl w:val="0"/>
          <w:numId w:val="1"/>
        </w:numPr>
        <w:tabs>
          <w:tab w:val="left" w:pos="836"/>
          <w:tab w:val="left" w:pos="837"/>
        </w:tabs>
        <w:spacing w:before="146"/>
        <w:ind w:left="836" w:hanging="731"/>
      </w:pPr>
      <w:r>
        <w:lastRenderedPageBreak/>
        <w:t>PHARMACOLOGICAL PROPERTIES</w:t>
      </w:r>
    </w:p>
    <w:p w:rsidR="00D15590" w:rsidRPr="00183B34" w:rsidRDefault="00E34B4E" w:rsidP="00183B34">
      <w:pPr>
        <w:pStyle w:val="ListParagraph"/>
        <w:numPr>
          <w:ilvl w:val="1"/>
          <w:numId w:val="1"/>
        </w:numPr>
        <w:tabs>
          <w:tab w:val="left" w:pos="841"/>
          <w:tab w:val="left" w:pos="842"/>
        </w:tabs>
        <w:spacing w:before="124" w:line="360" w:lineRule="auto"/>
        <w:ind w:left="183" w:right="4409" w:firstLine="0"/>
        <w:rPr>
          <w:b/>
          <w:bCs/>
        </w:rPr>
      </w:pPr>
      <w:r w:rsidRPr="00183B34">
        <w:rPr>
          <w:b/>
          <w:bCs/>
          <w:sz w:val="20"/>
        </w:rPr>
        <w:t xml:space="preserve">Pharmacodynamics properties </w:t>
      </w:r>
    </w:p>
    <w:p w:rsidR="00D15590" w:rsidRPr="00D15590" w:rsidRDefault="00D15590" w:rsidP="00183B34">
      <w:pPr>
        <w:pStyle w:val="BodyText"/>
        <w:ind w:left="851"/>
        <w:jc w:val="both"/>
      </w:pPr>
      <w:r w:rsidRPr="0000553E">
        <w:rPr>
          <w:b/>
          <w:bCs/>
        </w:rPr>
        <w:t>Pharmacotherapeutic group:</w:t>
      </w:r>
      <w:r w:rsidRPr="00D15590">
        <w:t xml:space="preserve"> Beta-lactam antibacterial, a 3rd generation cephalosporin.</w:t>
      </w:r>
    </w:p>
    <w:p w:rsidR="00D15590" w:rsidRPr="00D15590" w:rsidRDefault="00D15590" w:rsidP="00183B34">
      <w:pPr>
        <w:pStyle w:val="BodyText"/>
        <w:ind w:left="851"/>
        <w:jc w:val="both"/>
      </w:pPr>
      <w:r w:rsidRPr="0000553E">
        <w:rPr>
          <w:b/>
          <w:bCs/>
        </w:rPr>
        <w:t>ATC Code:</w:t>
      </w:r>
      <w:r w:rsidRPr="00D15590">
        <w:t xml:space="preserve"> J01DD13</w:t>
      </w:r>
    </w:p>
    <w:p w:rsidR="0000553E" w:rsidRDefault="0000553E" w:rsidP="00183B34">
      <w:pPr>
        <w:pStyle w:val="BodyText"/>
        <w:ind w:left="851"/>
        <w:jc w:val="both"/>
      </w:pPr>
    </w:p>
    <w:p w:rsidR="00D15590" w:rsidRPr="0000553E" w:rsidRDefault="00D15590" w:rsidP="00183B34">
      <w:pPr>
        <w:pStyle w:val="BodyText"/>
        <w:ind w:left="851"/>
        <w:jc w:val="both"/>
        <w:rPr>
          <w:b/>
          <w:bCs/>
        </w:rPr>
      </w:pPr>
      <w:r w:rsidRPr="0000553E">
        <w:rPr>
          <w:b/>
          <w:bCs/>
        </w:rPr>
        <w:t>Mechanism of Action:</w:t>
      </w:r>
    </w:p>
    <w:p w:rsidR="00D15590" w:rsidRDefault="00D15590" w:rsidP="00183B34">
      <w:pPr>
        <w:pStyle w:val="BodyText"/>
        <w:ind w:left="851"/>
        <w:jc w:val="both"/>
      </w:pPr>
      <w:r w:rsidRPr="00D15590">
        <w:t>Cefpodoxime inhibits bacterial cell wall synthesis following attachment to penicillin binding proteins (PBPs).</w:t>
      </w:r>
      <w:r w:rsidR="0000553E">
        <w:t xml:space="preserve"> </w:t>
      </w:r>
      <w:r w:rsidRPr="00D15590">
        <w:t>This results in the interruption of cell wall (peptidoglycan) biosynthesis, which leads to bacterial cell lysis and</w:t>
      </w:r>
      <w:r w:rsidR="0000553E">
        <w:t xml:space="preserve"> </w:t>
      </w:r>
      <w:r w:rsidRPr="00D15590">
        <w:t>death.</w:t>
      </w:r>
    </w:p>
    <w:p w:rsidR="0000553E" w:rsidRPr="00D15590" w:rsidRDefault="0000553E" w:rsidP="00183B34">
      <w:pPr>
        <w:pStyle w:val="BodyText"/>
        <w:ind w:left="851"/>
        <w:jc w:val="both"/>
      </w:pPr>
    </w:p>
    <w:p w:rsidR="00D15590" w:rsidRPr="0000553E" w:rsidRDefault="00D15590" w:rsidP="00183B34">
      <w:pPr>
        <w:pStyle w:val="BodyText"/>
        <w:ind w:left="851"/>
        <w:jc w:val="both"/>
        <w:rPr>
          <w:b/>
          <w:bCs/>
        </w:rPr>
      </w:pPr>
      <w:r w:rsidRPr="0000553E">
        <w:rPr>
          <w:b/>
          <w:bCs/>
        </w:rPr>
        <w:t>PK/PD relationship</w:t>
      </w:r>
    </w:p>
    <w:p w:rsidR="00D15590" w:rsidRPr="00D15590" w:rsidRDefault="00D15590" w:rsidP="00183B34">
      <w:pPr>
        <w:pStyle w:val="BodyText"/>
        <w:ind w:left="851"/>
        <w:jc w:val="both"/>
      </w:pPr>
      <w:r w:rsidRPr="00D15590">
        <w:t>For cephalosporins, the most important pharmacokinetic-pharmacodynamic index correlating with in vivo</w:t>
      </w:r>
    </w:p>
    <w:p w:rsidR="00D15590" w:rsidRDefault="00D15590" w:rsidP="00183B34">
      <w:pPr>
        <w:pStyle w:val="BodyText"/>
        <w:ind w:left="851"/>
        <w:jc w:val="both"/>
      </w:pPr>
      <w:r w:rsidRPr="00D15590">
        <w:t>efficacy has been shown to be the percentage of the dosing interval that the unbound concentration remains</w:t>
      </w:r>
      <w:r w:rsidR="0000553E">
        <w:t xml:space="preserve"> </w:t>
      </w:r>
      <w:r w:rsidRPr="00D15590">
        <w:t>above the minimum inhibitory concentration (MIC) of cefpodoxime for individual target species (i.e.</w:t>
      </w:r>
      <w:r w:rsidR="0000553E">
        <w:t xml:space="preserve"> </w:t>
      </w:r>
      <w:r w:rsidRPr="00D15590">
        <w:t>%T&gt;MIC).</w:t>
      </w:r>
    </w:p>
    <w:p w:rsidR="0000553E" w:rsidRPr="00D15590" w:rsidRDefault="0000553E" w:rsidP="00183B34">
      <w:pPr>
        <w:pStyle w:val="BodyText"/>
        <w:ind w:left="851"/>
        <w:jc w:val="both"/>
      </w:pPr>
    </w:p>
    <w:p w:rsidR="00D15590" w:rsidRPr="0000553E" w:rsidRDefault="00D15590" w:rsidP="00183B34">
      <w:pPr>
        <w:pStyle w:val="BodyText"/>
        <w:ind w:left="851"/>
        <w:jc w:val="both"/>
        <w:rPr>
          <w:b/>
          <w:bCs/>
        </w:rPr>
      </w:pPr>
      <w:r w:rsidRPr="0000553E">
        <w:rPr>
          <w:b/>
          <w:bCs/>
        </w:rPr>
        <w:t>Mechanism(s) of resistance:</w:t>
      </w:r>
    </w:p>
    <w:p w:rsidR="00D15590" w:rsidRPr="00D15590" w:rsidRDefault="00D15590" w:rsidP="00183B34">
      <w:pPr>
        <w:pStyle w:val="BodyText"/>
        <w:ind w:left="851"/>
        <w:jc w:val="both"/>
      </w:pPr>
      <w:r w:rsidRPr="00D15590">
        <w:t>Resistance to cephalosporins results from a variety of mechanisms:</w:t>
      </w:r>
    </w:p>
    <w:p w:rsidR="00D15590" w:rsidRPr="00D15590" w:rsidRDefault="00D15590" w:rsidP="00183B34">
      <w:pPr>
        <w:pStyle w:val="BodyText"/>
        <w:ind w:left="851"/>
        <w:jc w:val="both"/>
      </w:pPr>
      <w:r w:rsidRPr="00D15590">
        <w:t>1) alteration of the cell-wall permeability of gram-negative bacteria.</w:t>
      </w:r>
    </w:p>
    <w:p w:rsidR="00D15590" w:rsidRPr="00D15590" w:rsidRDefault="00D15590" w:rsidP="00183B34">
      <w:pPr>
        <w:pStyle w:val="BodyText"/>
        <w:ind w:left="851"/>
        <w:jc w:val="both"/>
      </w:pPr>
      <w:r w:rsidRPr="00D15590">
        <w:t>2) alteration of the penicillin binding proteins (PBPs)</w:t>
      </w:r>
    </w:p>
    <w:p w:rsidR="00D15590" w:rsidRPr="00D15590" w:rsidRDefault="00D15590" w:rsidP="00183B34">
      <w:pPr>
        <w:pStyle w:val="BodyText"/>
        <w:ind w:left="851"/>
        <w:jc w:val="both"/>
      </w:pPr>
      <w:r w:rsidRPr="00D15590">
        <w:t>3) β-lactamase production</w:t>
      </w:r>
    </w:p>
    <w:p w:rsidR="004860FE" w:rsidRDefault="00D15590" w:rsidP="00183B34">
      <w:pPr>
        <w:pStyle w:val="BodyText"/>
        <w:ind w:left="851"/>
        <w:jc w:val="both"/>
        <w:rPr>
          <w:sz w:val="24"/>
        </w:rPr>
      </w:pPr>
      <w:r w:rsidRPr="00D15590">
        <w:t>4) bacterial efflux pumps</w:t>
      </w:r>
    </w:p>
    <w:p w:rsidR="00D15590" w:rsidRDefault="00D15590" w:rsidP="00183B34">
      <w:pPr>
        <w:pStyle w:val="BodyText"/>
        <w:ind w:left="851"/>
        <w:rPr>
          <w:sz w:val="24"/>
        </w:rPr>
      </w:pPr>
    </w:p>
    <w:p w:rsidR="00BF50A9" w:rsidRPr="00BF50A9" w:rsidRDefault="00BF50A9" w:rsidP="00183B34">
      <w:pPr>
        <w:widowControl/>
        <w:suppressAutoHyphens/>
        <w:autoSpaceDE/>
        <w:autoSpaceDN/>
        <w:ind w:left="851"/>
        <w:jc w:val="both"/>
        <w:rPr>
          <w:rFonts w:eastAsia="Times New Roman"/>
          <w:b/>
          <w:iCs/>
          <w:sz w:val="20"/>
          <w:szCs w:val="20"/>
          <w:lang w:eastAsia="ar-SA"/>
        </w:rPr>
      </w:pPr>
      <w:r w:rsidRPr="00BF50A9">
        <w:rPr>
          <w:rFonts w:eastAsia="Times New Roman"/>
          <w:b/>
          <w:iCs/>
          <w:sz w:val="20"/>
          <w:szCs w:val="20"/>
          <w:lang w:eastAsia="ar-SA"/>
        </w:rPr>
        <w:t>Break points:</w:t>
      </w:r>
    </w:p>
    <w:p w:rsidR="00BF50A9" w:rsidRPr="00BF50A9" w:rsidRDefault="00BF50A9" w:rsidP="00183B34">
      <w:pPr>
        <w:widowControl/>
        <w:suppressAutoHyphens/>
        <w:autoSpaceDE/>
        <w:autoSpaceDN/>
        <w:ind w:left="851"/>
        <w:jc w:val="both"/>
        <w:rPr>
          <w:rFonts w:eastAsia="Times New Roman"/>
          <w:iCs/>
          <w:sz w:val="20"/>
          <w:szCs w:val="20"/>
          <w:lang w:eastAsia="ar-SA"/>
        </w:rPr>
      </w:pPr>
      <w:r w:rsidRPr="00BF50A9">
        <w:rPr>
          <w:rFonts w:eastAsia="Times New Roman"/>
          <w:iCs/>
          <w:sz w:val="20"/>
          <w:szCs w:val="20"/>
          <w:lang w:eastAsia="ar-SA"/>
        </w:rPr>
        <w:t>European Committee on Antimicrobial Susceptibility Testing (EUCAST) clinical breakpoints for MIC testing is presented below. EUCAST clinical MIC breakpoints for cefpodoxime (2011-01-05, v 1.3)</w:t>
      </w:r>
    </w:p>
    <w:p w:rsidR="00BF50A9" w:rsidRPr="00BF50A9" w:rsidRDefault="00BF50A9" w:rsidP="00BF50A9">
      <w:pPr>
        <w:widowControl/>
        <w:suppressAutoHyphens/>
        <w:autoSpaceDE/>
        <w:autoSpaceDN/>
        <w:jc w:val="both"/>
        <w:rPr>
          <w:rFonts w:eastAsia="Times New Roman"/>
          <w:iC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229"/>
        <w:gridCol w:w="2315"/>
      </w:tblGrid>
      <w:tr w:rsidR="00BF50A9" w:rsidRPr="00BF50A9" w:rsidTr="00384341">
        <w:trPr>
          <w:trHeight w:val="323"/>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Organism</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Susceptible (S) (mg/l)</w:t>
            </w: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Resistant (R) (mg/l)</w:t>
            </w: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Enterobacteriaceae</w:t>
            </w:r>
          </w:p>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(uncomplicated UTI only)</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1</w:t>
            </w:r>
          </w:p>
          <w:p w:rsidR="00BF50A9" w:rsidRPr="00BF50A9" w:rsidRDefault="00BF50A9" w:rsidP="00BF50A9">
            <w:pPr>
              <w:widowControl/>
              <w:suppressAutoHyphens/>
              <w:autoSpaceDE/>
              <w:autoSpaceDN/>
              <w:jc w:val="both"/>
              <w:rPr>
                <w:rFonts w:eastAsia="Times New Roman"/>
                <w:iCs/>
                <w:sz w:val="20"/>
                <w:szCs w:val="20"/>
                <w:lang w:eastAsia="ar-SA"/>
              </w:rPr>
            </w:pP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&gt;1</w:t>
            </w:r>
          </w:p>
          <w:p w:rsidR="00BF50A9" w:rsidRPr="00BF50A9" w:rsidRDefault="00BF50A9" w:rsidP="00BF50A9">
            <w:pPr>
              <w:widowControl/>
              <w:suppressAutoHyphens/>
              <w:autoSpaceDE/>
              <w:autoSpaceDN/>
              <w:jc w:val="both"/>
              <w:rPr>
                <w:rFonts w:eastAsia="Times New Roman"/>
                <w:iCs/>
                <w:sz w:val="20"/>
                <w:szCs w:val="20"/>
                <w:lang w:eastAsia="ar-SA"/>
              </w:rPr>
            </w:pP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Staphylococcus spp.</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1</w:t>
            </w: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1</w:t>
            </w: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Streptococcus groups A, B, C and G</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2</w:t>
            </w: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2</w:t>
            </w: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Streptococcus pneumonia</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0.25</w:t>
            </w:r>
          </w:p>
        </w:tc>
        <w:tc>
          <w:tcPr>
            <w:tcW w:w="2315" w:type="dxa"/>
          </w:tcPr>
          <w:p w:rsidR="00BF50A9" w:rsidRPr="00BF50A9" w:rsidRDefault="00BF50A9" w:rsidP="00BF50A9">
            <w:pPr>
              <w:widowControl/>
              <w:suppressAutoHyphens/>
              <w:autoSpaceDE/>
              <w:autoSpaceDN/>
              <w:rPr>
                <w:rFonts w:eastAsia="Times New Roman"/>
                <w:iCs/>
                <w:sz w:val="20"/>
                <w:szCs w:val="20"/>
                <w:lang w:eastAsia="ar-SA"/>
              </w:rPr>
            </w:pPr>
            <w:r w:rsidRPr="00BF50A9">
              <w:rPr>
                <w:rFonts w:eastAsia="Times New Roman"/>
                <w:iCs/>
                <w:sz w:val="20"/>
                <w:szCs w:val="20"/>
                <w:lang w:eastAsia="ar-SA"/>
              </w:rPr>
              <w:t>&gt;0.5</w:t>
            </w: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Haemophilus influenza</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0.25</w:t>
            </w:r>
          </w:p>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3</w:t>
            </w:r>
          </w:p>
        </w:tc>
        <w:tc>
          <w:tcPr>
            <w:tcW w:w="2315" w:type="dxa"/>
          </w:tcPr>
          <w:p w:rsidR="00BF50A9" w:rsidRPr="00BF50A9" w:rsidRDefault="00BF50A9" w:rsidP="00BF50A9">
            <w:pPr>
              <w:widowControl/>
              <w:suppressAutoHyphens/>
              <w:autoSpaceDE/>
              <w:autoSpaceDN/>
              <w:rPr>
                <w:rFonts w:eastAsia="Times New Roman"/>
                <w:iCs/>
                <w:sz w:val="20"/>
                <w:szCs w:val="20"/>
                <w:lang w:eastAsia="ar-SA"/>
              </w:rPr>
            </w:pPr>
            <w:r w:rsidRPr="00BF50A9">
              <w:rPr>
                <w:rFonts w:eastAsia="Times New Roman"/>
                <w:iCs/>
                <w:sz w:val="20"/>
                <w:szCs w:val="20"/>
                <w:lang w:eastAsia="ar-SA"/>
              </w:rPr>
              <w:t>&gt;0.5</w:t>
            </w:r>
          </w:p>
          <w:p w:rsidR="00BF50A9" w:rsidRPr="00BF50A9" w:rsidRDefault="00BF50A9" w:rsidP="00BF50A9">
            <w:pPr>
              <w:widowControl/>
              <w:suppressAutoHyphens/>
              <w:autoSpaceDE/>
              <w:autoSpaceDN/>
              <w:rPr>
                <w:rFonts w:eastAsia="Times New Roman"/>
                <w:sz w:val="20"/>
                <w:szCs w:val="20"/>
                <w:lang w:eastAsia="ar-SA"/>
              </w:rPr>
            </w:pP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Moraxella catarrhalis</w:t>
            </w:r>
          </w:p>
          <w:p w:rsidR="00BF50A9" w:rsidRPr="00BF50A9" w:rsidRDefault="00BF50A9" w:rsidP="00BF50A9">
            <w:pPr>
              <w:widowControl/>
              <w:suppressAutoHyphens/>
              <w:autoSpaceDE/>
              <w:autoSpaceDN/>
              <w:jc w:val="both"/>
              <w:rPr>
                <w:rFonts w:eastAsia="Times New Roman"/>
                <w:iCs/>
                <w:sz w:val="20"/>
                <w:szCs w:val="20"/>
                <w:lang w:eastAsia="ar-SA"/>
              </w:rPr>
            </w:pP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0.25</w:t>
            </w:r>
          </w:p>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3</w:t>
            </w:r>
          </w:p>
        </w:tc>
        <w:tc>
          <w:tcPr>
            <w:tcW w:w="2315" w:type="dxa"/>
          </w:tcPr>
          <w:p w:rsidR="00BF50A9" w:rsidRPr="00BF50A9" w:rsidRDefault="00BF50A9" w:rsidP="00BF50A9">
            <w:pPr>
              <w:widowControl/>
              <w:suppressAutoHyphens/>
              <w:autoSpaceDE/>
              <w:autoSpaceDN/>
              <w:rPr>
                <w:rFonts w:eastAsia="Times New Roman"/>
                <w:iCs/>
                <w:sz w:val="20"/>
                <w:szCs w:val="20"/>
                <w:lang w:eastAsia="ar-SA"/>
              </w:rPr>
            </w:pPr>
            <w:r w:rsidRPr="00BF50A9">
              <w:rPr>
                <w:rFonts w:eastAsia="Times New Roman"/>
                <w:iCs/>
                <w:sz w:val="20"/>
                <w:szCs w:val="20"/>
                <w:lang w:eastAsia="ar-SA"/>
              </w:rPr>
              <w:t>&gt;0.5</w:t>
            </w:r>
          </w:p>
          <w:p w:rsidR="00BF50A9" w:rsidRPr="00BF50A9" w:rsidRDefault="00BF50A9" w:rsidP="00BF50A9">
            <w:pPr>
              <w:widowControl/>
              <w:suppressAutoHyphens/>
              <w:autoSpaceDE/>
              <w:autoSpaceDN/>
              <w:rPr>
                <w:rFonts w:eastAsia="Times New Roman"/>
                <w:sz w:val="20"/>
                <w:szCs w:val="20"/>
                <w:lang w:eastAsia="ar-SA"/>
              </w:rPr>
            </w:pP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Neisseria gonorrhoeae</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Non-species related breakpoint</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r>
    </w:tbl>
    <w:p w:rsidR="00BF50A9" w:rsidRPr="00BF50A9" w:rsidRDefault="00BF50A9" w:rsidP="00BF50A9">
      <w:pPr>
        <w:widowControl/>
        <w:suppressAutoHyphens/>
        <w:autoSpaceDE/>
        <w:autoSpaceDN/>
        <w:jc w:val="both"/>
        <w:rPr>
          <w:rFonts w:eastAsia="Times New Roman"/>
          <w:iCs/>
          <w:sz w:val="20"/>
          <w:szCs w:val="20"/>
          <w:lang w:eastAsia="ar-SA"/>
        </w:rPr>
      </w:pPr>
    </w:p>
    <w:p w:rsidR="00BF50A9" w:rsidRPr="00BF50A9" w:rsidRDefault="00BF50A9" w:rsidP="00183B34">
      <w:pPr>
        <w:widowControl/>
        <w:suppressAutoHyphens/>
        <w:autoSpaceDE/>
        <w:autoSpaceDN/>
        <w:ind w:left="567"/>
        <w:jc w:val="both"/>
        <w:rPr>
          <w:rFonts w:eastAsia="Times New Roman"/>
          <w:iCs/>
          <w:sz w:val="20"/>
          <w:szCs w:val="20"/>
          <w:lang w:eastAsia="ar-SA"/>
        </w:rPr>
      </w:pPr>
      <w:r w:rsidRPr="00BF50A9">
        <w:rPr>
          <w:rFonts w:eastAsia="Times New Roman"/>
          <w:iCs/>
          <w:sz w:val="20"/>
          <w:szCs w:val="20"/>
          <w:lang w:eastAsia="ar-SA"/>
        </w:rPr>
        <w:t>1. Susceptibility of staphylococci to cephalosporins is inferred from the cefoxitin susceptibility.</w:t>
      </w:r>
    </w:p>
    <w:p w:rsidR="00BF50A9" w:rsidRPr="00BF50A9" w:rsidRDefault="00BF50A9" w:rsidP="00183B34">
      <w:pPr>
        <w:widowControl/>
        <w:suppressAutoHyphens/>
        <w:autoSpaceDE/>
        <w:autoSpaceDN/>
        <w:ind w:left="567"/>
        <w:jc w:val="both"/>
        <w:rPr>
          <w:rFonts w:eastAsia="Times New Roman"/>
          <w:iCs/>
          <w:sz w:val="20"/>
          <w:szCs w:val="20"/>
          <w:lang w:eastAsia="ar-SA"/>
        </w:rPr>
      </w:pPr>
      <w:r w:rsidRPr="00BF50A9">
        <w:rPr>
          <w:rFonts w:eastAsia="Times New Roman"/>
          <w:iCs/>
          <w:sz w:val="20"/>
          <w:szCs w:val="20"/>
          <w:lang w:eastAsia="ar-SA"/>
        </w:rPr>
        <w:t>2. The beta-lactam susceptibility of beta-haemolytic streptococcus groups A, B, C and G is inferred from the penicillin susceptibility.</w:t>
      </w:r>
    </w:p>
    <w:p w:rsidR="00BF50A9" w:rsidRPr="00BF50A9" w:rsidRDefault="00BF50A9" w:rsidP="00183B34">
      <w:pPr>
        <w:widowControl/>
        <w:suppressAutoHyphens/>
        <w:autoSpaceDE/>
        <w:autoSpaceDN/>
        <w:ind w:left="567"/>
        <w:jc w:val="both"/>
        <w:rPr>
          <w:rFonts w:eastAsia="Times New Roman"/>
          <w:iCs/>
          <w:sz w:val="20"/>
          <w:szCs w:val="20"/>
          <w:lang w:eastAsia="ar-SA"/>
        </w:rPr>
      </w:pPr>
      <w:r w:rsidRPr="00BF50A9">
        <w:rPr>
          <w:rFonts w:eastAsia="Times New Roman"/>
          <w:iCs/>
          <w:sz w:val="20"/>
          <w:szCs w:val="20"/>
          <w:lang w:eastAsia="ar-SA"/>
        </w:rPr>
        <w:t>3. Strains with MIC values above the susceptible breakpoint are very rare or not yet reported. The identification and antimicrobial susceptibility tests on any such isolate must be repeated and if the result is confirmed the isolate must be sent to a reference laboratory.</w:t>
      </w:r>
    </w:p>
    <w:p w:rsidR="00BF50A9" w:rsidRDefault="00BF50A9" w:rsidP="00183B34">
      <w:pPr>
        <w:pStyle w:val="BodyText"/>
        <w:ind w:left="567"/>
        <w:rPr>
          <w:sz w:val="24"/>
        </w:rPr>
      </w:pPr>
      <w:r w:rsidRPr="00BF50A9">
        <w:rPr>
          <w:rFonts w:eastAsia="Times New Roman"/>
          <w:iCs/>
          <w:lang w:eastAsia="ar-SA"/>
        </w:rPr>
        <w:t>*Insufficient evidence</w:t>
      </w:r>
    </w:p>
    <w:p w:rsidR="00D15590" w:rsidRDefault="00D15590">
      <w:pPr>
        <w:pStyle w:val="BodyText"/>
        <w:rPr>
          <w:sz w:val="24"/>
        </w:rPr>
      </w:pPr>
    </w:p>
    <w:p w:rsidR="004860FE" w:rsidRDefault="00E34B4E" w:rsidP="005353A6">
      <w:pPr>
        <w:pStyle w:val="Heading3"/>
        <w:numPr>
          <w:ilvl w:val="1"/>
          <w:numId w:val="1"/>
        </w:numPr>
        <w:tabs>
          <w:tab w:val="left" w:pos="616"/>
        </w:tabs>
        <w:spacing w:before="0"/>
        <w:ind w:left="615" w:hanging="510"/>
      </w:pPr>
      <w:r>
        <w:t>Pharmacokinetic properties</w:t>
      </w:r>
    </w:p>
    <w:p w:rsidR="000D323E" w:rsidRDefault="000D323E"/>
    <w:p w:rsidR="00001788" w:rsidRDefault="00001788" w:rsidP="00183B34">
      <w:pPr>
        <w:widowControl/>
        <w:suppressAutoHyphens/>
        <w:autoSpaceDE/>
        <w:autoSpaceDN/>
        <w:ind w:left="567"/>
        <w:jc w:val="both"/>
        <w:rPr>
          <w:rFonts w:eastAsia="Times New Roman"/>
          <w:bCs/>
          <w:iCs/>
          <w:sz w:val="20"/>
          <w:szCs w:val="20"/>
          <w:lang w:eastAsia="ar-SA"/>
        </w:rPr>
      </w:pPr>
      <w:r w:rsidRPr="00001788">
        <w:rPr>
          <w:rFonts w:eastAsia="Times New Roman"/>
          <w:b/>
          <w:iCs/>
          <w:sz w:val="20"/>
          <w:szCs w:val="20"/>
          <w:lang w:eastAsia="ar-SA"/>
        </w:rPr>
        <w:t>Absorption and Bioavailability:</w:t>
      </w:r>
      <w:r w:rsidRPr="00001788">
        <w:rPr>
          <w:rFonts w:eastAsia="Times New Roman"/>
          <w:bCs/>
          <w:iCs/>
          <w:sz w:val="20"/>
          <w:szCs w:val="20"/>
          <w:lang w:eastAsia="ar-SA"/>
        </w:rPr>
        <w:t xml:space="preserve"> </w:t>
      </w:r>
      <w:r w:rsidR="000D323E" w:rsidRPr="000D323E">
        <w:rPr>
          <w:rFonts w:eastAsia="Times New Roman"/>
          <w:bCs/>
          <w:iCs/>
          <w:sz w:val="20"/>
          <w:szCs w:val="20"/>
          <w:lang w:eastAsia="ar-SA"/>
        </w:rPr>
        <w:t xml:space="preserve">Cefpodoxime is taken up in the intestine and is hydrolysed to the active metabolite cefpodoxime. When cefpodoxime proxetil is administered orally to fasting subjects </w:t>
      </w:r>
      <w:r w:rsidR="000D323E" w:rsidRPr="000D323E">
        <w:rPr>
          <w:rFonts w:eastAsia="Times New Roman"/>
          <w:bCs/>
          <w:iCs/>
          <w:sz w:val="20"/>
          <w:szCs w:val="20"/>
          <w:lang w:eastAsia="ar-SA"/>
        </w:rPr>
        <w:lastRenderedPageBreak/>
        <w:t xml:space="preserve">as a tablet corresponding to 100 mg of cefpodoxime, 51.5% is absorbed and absorption is increased by food intake. </w:t>
      </w:r>
    </w:p>
    <w:p w:rsidR="00001788" w:rsidRDefault="00001788" w:rsidP="00183B34">
      <w:pPr>
        <w:widowControl/>
        <w:suppressAutoHyphens/>
        <w:autoSpaceDE/>
        <w:autoSpaceDN/>
        <w:ind w:left="567"/>
        <w:jc w:val="both"/>
        <w:rPr>
          <w:rFonts w:eastAsia="Times New Roman"/>
          <w:bCs/>
          <w:iCs/>
          <w:sz w:val="20"/>
          <w:szCs w:val="20"/>
          <w:lang w:eastAsia="ar-SA"/>
        </w:rPr>
      </w:pPr>
    </w:p>
    <w:p w:rsidR="000D323E" w:rsidRDefault="00001788" w:rsidP="00183B34">
      <w:pPr>
        <w:widowControl/>
        <w:suppressAutoHyphens/>
        <w:autoSpaceDE/>
        <w:autoSpaceDN/>
        <w:ind w:left="567"/>
        <w:jc w:val="both"/>
        <w:rPr>
          <w:rFonts w:eastAsia="Times New Roman"/>
          <w:bCs/>
          <w:iCs/>
          <w:sz w:val="20"/>
          <w:szCs w:val="20"/>
          <w:lang w:eastAsia="ar-SA"/>
        </w:rPr>
      </w:pPr>
      <w:r w:rsidRPr="00001788">
        <w:rPr>
          <w:rFonts w:eastAsia="Times New Roman"/>
          <w:b/>
          <w:iCs/>
          <w:sz w:val="20"/>
          <w:szCs w:val="20"/>
          <w:lang w:eastAsia="ar-SA"/>
        </w:rPr>
        <w:t>Distribution:</w:t>
      </w:r>
      <w:r>
        <w:rPr>
          <w:rFonts w:eastAsia="Times New Roman"/>
          <w:bCs/>
          <w:iCs/>
          <w:sz w:val="20"/>
          <w:szCs w:val="20"/>
          <w:lang w:eastAsia="ar-SA"/>
        </w:rPr>
        <w:t xml:space="preserve"> </w:t>
      </w:r>
      <w:r w:rsidR="000D323E" w:rsidRPr="000D323E">
        <w:rPr>
          <w:rFonts w:eastAsia="Times New Roman"/>
          <w:bCs/>
          <w:iCs/>
          <w:sz w:val="20"/>
          <w:szCs w:val="20"/>
          <w:lang w:eastAsia="ar-SA"/>
        </w:rPr>
        <w:t>The volume of distribution is 32.3 L and peak levels of cefpodoxime occur 2 to 3 hrs after dosing. The maximum plasma concentration is 1.2 mg/L and 2.5 mg/L after doses of 100 mg and 200 mg respectively. Following administration of 100 mg and 200 mg twice daily over 14.5 days, the plasma pharmacokinetic parameters of cefpodoxime remain unchanged.</w:t>
      </w:r>
      <w:r w:rsidR="005353A6">
        <w:rPr>
          <w:rFonts w:eastAsia="Times New Roman"/>
          <w:bCs/>
          <w:iCs/>
          <w:sz w:val="20"/>
          <w:szCs w:val="20"/>
          <w:lang w:eastAsia="ar-SA"/>
        </w:rPr>
        <w:t xml:space="preserve"> </w:t>
      </w:r>
      <w:r w:rsidR="000D323E" w:rsidRPr="000D323E">
        <w:rPr>
          <w:rFonts w:eastAsia="Times New Roman"/>
          <w:bCs/>
          <w:iCs/>
          <w:sz w:val="20"/>
          <w:szCs w:val="20"/>
          <w:lang w:eastAsia="ar-SA"/>
        </w:rPr>
        <w:t>Serum protein binding of cefpodoxime, 40% principally to albumin. This binding is non saturable in type.</w:t>
      </w:r>
      <w:r w:rsidR="005353A6">
        <w:rPr>
          <w:rFonts w:eastAsia="Times New Roman"/>
          <w:bCs/>
          <w:iCs/>
          <w:sz w:val="20"/>
          <w:szCs w:val="20"/>
          <w:lang w:eastAsia="ar-SA"/>
        </w:rPr>
        <w:t xml:space="preserve"> </w:t>
      </w:r>
      <w:r w:rsidR="000D323E" w:rsidRPr="000D323E">
        <w:rPr>
          <w:rFonts w:eastAsia="Times New Roman"/>
          <w:bCs/>
          <w:iCs/>
          <w:sz w:val="20"/>
          <w:szCs w:val="20"/>
          <w:lang w:eastAsia="ar-SA"/>
        </w:rPr>
        <w:t>Concentrations of cefpodoxime in excess of the minimum inhibitory levels (MIC) for common pathogens can be achieved in lung parenchyma, bronchial mucosa, pleural fluid, tonsils, interstitial fluid and prostate tissue.</w:t>
      </w:r>
    </w:p>
    <w:p w:rsidR="00001788" w:rsidRPr="000D323E" w:rsidRDefault="00001788" w:rsidP="00183B34">
      <w:pPr>
        <w:widowControl/>
        <w:suppressAutoHyphens/>
        <w:autoSpaceDE/>
        <w:autoSpaceDN/>
        <w:ind w:left="567"/>
        <w:jc w:val="both"/>
        <w:rPr>
          <w:rFonts w:eastAsia="Times New Roman"/>
          <w:bCs/>
          <w:iCs/>
          <w:sz w:val="20"/>
          <w:szCs w:val="20"/>
          <w:lang w:eastAsia="ar-SA"/>
        </w:rPr>
      </w:pPr>
    </w:p>
    <w:p w:rsidR="000D323E" w:rsidRPr="000D323E" w:rsidRDefault="00001788" w:rsidP="00183B34">
      <w:pPr>
        <w:widowControl/>
        <w:suppressAutoHyphens/>
        <w:autoSpaceDE/>
        <w:autoSpaceDN/>
        <w:ind w:left="567"/>
        <w:jc w:val="both"/>
        <w:rPr>
          <w:rFonts w:eastAsia="Times New Roman"/>
          <w:bCs/>
          <w:iCs/>
          <w:sz w:val="20"/>
          <w:szCs w:val="20"/>
          <w:lang w:eastAsia="ar-SA"/>
        </w:rPr>
      </w:pPr>
      <w:r w:rsidRPr="00001788">
        <w:rPr>
          <w:rFonts w:eastAsia="Times New Roman"/>
          <w:b/>
          <w:iCs/>
          <w:sz w:val="20"/>
          <w:szCs w:val="20"/>
          <w:lang w:eastAsia="ar-SA"/>
        </w:rPr>
        <w:t>Metabolism &amp; Elimination:</w:t>
      </w:r>
      <w:r>
        <w:rPr>
          <w:rFonts w:eastAsia="Times New Roman"/>
          <w:bCs/>
          <w:iCs/>
          <w:sz w:val="20"/>
          <w:szCs w:val="20"/>
          <w:lang w:eastAsia="ar-SA"/>
        </w:rPr>
        <w:t xml:space="preserve"> </w:t>
      </w:r>
      <w:r w:rsidR="000D323E" w:rsidRPr="000D323E">
        <w:rPr>
          <w:rFonts w:eastAsia="Times New Roman"/>
          <w:bCs/>
          <w:iCs/>
          <w:sz w:val="20"/>
          <w:szCs w:val="20"/>
          <w:lang w:eastAsia="ar-SA"/>
        </w:rPr>
        <w:t>As the majority of cefpodoxime is eliminated in the urine, the concentration is high. (Concentrations in 0-4, 4-8, 8-12 hr fractions after a single dose exceed MIC90 of common urinary pathogens). Good diffusion of cefpodoxime is also seen into renal tissue, with concentrations above MIC90 of the common urinary pathogens, 3-12 hrs after an administration of a single 200 mg dose (1.6-3.1μg/g). Concentrations of cefpodoxime in the medullary and cortical tissues is similar.</w:t>
      </w:r>
    </w:p>
    <w:p w:rsidR="00001788" w:rsidRDefault="00001788" w:rsidP="00183B34">
      <w:pPr>
        <w:widowControl/>
        <w:suppressAutoHyphens/>
        <w:autoSpaceDE/>
        <w:autoSpaceDN/>
        <w:ind w:left="567"/>
        <w:jc w:val="both"/>
        <w:rPr>
          <w:rFonts w:eastAsia="Times New Roman"/>
          <w:bCs/>
          <w:iCs/>
          <w:sz w:val="20"/>
          <w:szCs w:val="20"/>
          <w:lang w:eastAsia="ar-SA"/>
        </w:rPr>
      </w:pPr>
    </w:p>
    <w:p w:rsidR="000D323E" w:rsidRPr="000D323E" w:rsidRDefault="00001788" w:rsidP="00183B34">
      <w:pPr>
        <w:widowControl/>
        <w:suppressAutoHyphens/>
        <w:autoSpaceDE/>
        <w:autoSpaceDN/>
        <w:ind w:left="567"/>
        <w:jc w:val="both"/>
        <w:rPr>
          <w:rFonts w:eastAsia="Times New Roman"/>
          <w:b/>
          <w:iCs/>
          <w:sz w:val="20"/>
          <w:szCs w:val="20"/>
          <w:lang w:eastAsia="ar-SA"/>
        </w:rPr>
      </w:pPr>
      <w:r w:rsidRPr="00001788">
        <w:rPr>
          <w:rFonts w:eastAsia="Times New Roman"/>
          <w:b/>
          <w:iCs/>
          <w:sz w:val="20"/>
          <w:szCs w:val="20"/>
          <w:lang w:eastAsia="ar-SA"/>
        </w:rPr>
        <w:t>Special Population:</w:t>
      </w:r>
      <w:r>
        <w:rPr>
          <w:rFonts w:eastAsia="Times New Roman"/>
          <w:b/>
          <w:iCs/>
          <w:sz w:val="20"/>
          <w:szCs w:val="20"/>
          <w:lang w:eastAsia="ar-SA"/>
        </w:rPr>
        <w:t xml:space="preserve"> </w:t>
      </w:r>
      <w:r w:rsidR="000D323E" w:rsidRPr="000D323E">
        <w:rPr>
          <w:rFonts w:eastAsia="Times New Roman"/>
          <w:bCs/>
          <w:iCs/>
          <w:sz w:val="20"/>
          <w:szCs w:val="20"/>
          <w:lang w:eastAsia="ar-SA"/>
        </w:rPr>
        <w:t>Studies in healthy volunteers show median concentrations of cefpodoxime in the total ejaculate 6-12 hrs following administration of a single 200 mg dose to be above the MIC90 of N. gonorrhoeae.</w:t>
      </w:r>
      <w:r w:rsidR="005353A6">
        <w:rPr>
          <w:rFonts w:eastAsia="Times New Roman"/>
          <w:b/>
          <w:iCs/>
          <w:sz w:val="20"/>
          <w:szCs w:val="20"/>
          <w:lang w:eastAsia="ar-SA"/>
        </w:rPr>
        <w:t xml:space="preserve"> </w:t>
      </w:r>
      <w:r w:rsidR="000D323E" w:rsidRPr="000D323E">
        <w:rPr>
          <w:rFonts w:eastAsia="Times New Roman"/>
          <w:bCs/>
          <w:iCs/>
          <w:sz w:val="20"/>
          <w:szCs w:val="20"/>
          <w:lang w:eastAsia="ar-SA"/>
        </w:rPr>
        <w:t>The main route of excretion is renal, 80% is excreted unchanged in the urine, with an elimination half-life of approx 2.4 hours.</w:t>
      </w:r>
    </w:p>
    <w:p w:rsidR="004860FE" w:rsidRDefault="004860FE">
      <w:pPr>
        <w:pStyle w:val="BodyText"/>
      </w:pPr>
    </w:p>
    <w:p w:rsidR="004860FE" w:rsidRDefault="00E34B4E">
      <w:pPr>
        <w:pStyle w:val="Heading3"/>
        <w:numPr>
          <w:ilvl w:val="1"/>
          <w:numId w:val="1"/>
        </w:numPr>
        <w:tabs>
          <w:tab w:val="left" w:pos="625"/>
          <w:tab w:val="left" w:pos="626"/>
        </w:tabs>
        <w:spacing w:before="100"/>
        <w:ind w:left="625" w:hanging="520"/>
      </w:pPr>
      <w:r>
        <w:t>Preclinical safety</w:t>
      </w:r>
      <w:r w:rsidR="00CC4E30">
        <w:t xml:space="preserve"> </w:t>
      </w:r>
      <w:r>
        <w:t>data</w:t>
      </w:r>
    </w:p>
    <w:p w:rsidR="00CC4E30" w:rsidRDefault="00CC4E30" w:rsidP="00183B34">
      <w:pPr>
        <w:pStyle w:val="BodyText"/>
        <w:spacing w:before="201"/>
        <w:ind w:firstLine="625"/>
      </w:pPr>
      <w:r w:rsidRPr="00CC4E30">
        <w:t>Not applicable.</w:t>
      </w:r>
    </w:p>
    <w:p w:rsidR="004860FE" w:rsidRDefault="004860FE">
      <w:pPr>
        <w:pStyle w:val="BodyText"/>
        <w:spacing w:before="10"/>
        <w:rPr>
          <w:sz w:val="22"/>
        </w:rPr>
      </w:pPr>
    </w:p>
    <w:p w:rsidR="004860FE" w:rsidRDefault="00E34B4E" w:rsidP="00183B34">
      <w:pPr>
        <w:pStyle w:val="Heading3"/>
        <w:numPr>
          <w:ilvl w:val="0"/>
          <w:numId w:val="1"/>
        </w:numPr>
        <w:tabs>
          <w:tab w:val="left" w:pos="567"/>
          <w:tab w:val="left" w:pos="833"/>
        </w:tabs>
        <w:spacing w:before="0"/>
        <w:ind w:left="834" w:hanging="728"/>
      </w:pPr>
      <w:r>
        <w:t>PHARMACEUTICAL PARTICULARS</w:t>
      </w:r>
    </w:p>
    <w:p w:rsidR="004860FE" w:rsidRDefault="004860FE">
      <w:pPr>
        <w:pStyle w:val="BodyText"/>
        <w:rPr>
          <w:b/>
          <w:sz w:val="24"/>
        </w:rPr>
      </w:pPr>
    </w:p>
    <w:p w:rsidR="004860FE" w:rsidRDefault="00E34B4E" w:rsidP="00582D9A">
      <w:pPr>
        <w:pStyle w:val="ListParagraph"/>
        <w:numPr>
          <w:ilvl w:val="1"/>
          <w:numId w:val="1"/>
        </w:numPr>
        <w:tabs>
          <w:tab w:val="left" w:pos="653"/>
          <w:tab w:val="left" w:pos="655"/>
        </w:tabs>
        <w:spacing w:before="0"/>
        <w:ind w:left="654" w:hanging="549"/>
        <w:rPr>
          <w:b/>
          <w:sz w:val="20"/>
        </w:rPr>
      </w:pPr>
      <w:r>
        <w:rPr>
          <w:b/>
          <w:sz w:val="20"/>
        </w:rPr>
        <w:t>List of</w:t>
      </w:r>
      <w:r w:rsidR="00CC4E30">
        <w:rPr>
          <w:b/>
          <w:sz w:val="20"/>
        </w:rPr>
        <w:t xml:space="preserve"> </w:t>
      </w:r>
      <w:r>
        <w:rPr>
          <w:b/>
          <w:sz w:val="20"/>
        </w:rPr>
        <w:t>excipients</w:t>
      </w:r>
    </w:p>
    <w:p w:rsidR="004860FE" w:rsidRDefault="004860FE">
      <w:pPr>
        <w:pStyle w:val="BodyText"/>
        <w:rPr>
          <w:b/>
          <w:sz w:val="24"/>
        </w:rPr>
      </w:pPr>
    </w:p>
    <w:tbl>
      <w:tblPr>
        <w:tblStyle w:val="TableGrid"/>
        <w:tblW w:w="0" w:type="auto"/>
        <w:tblInd w:w="675" w:type="dxa"/>
        <w:tblLook w:val="04A0" w:firstRow="1" w:lastRow="0" w:firstColumn="1" w:lastColumn="0" w:noHBand="0" w:noVBand="1"/>
      </w:tblPr>
      <w:tblGrid>
        <w:gridCol w:w="3227"/>
        <w:gridCol w:w="1134"/>
      </w:tblGrid>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Beta Cyclodextrin</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USP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Lactose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30"/>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Mannitol</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Soluble Starch</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30"/>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Sodium chloride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Sodium Lauryl Sulphate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Magnesium Stearate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30"/>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Purified Talc</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Colloidal anhydrous Silica</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473"/>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Polacrilin Potassium (Kyron T 314)</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USP-NF</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Flavour Pineapple Dry</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IHS</w:t>
            </w:r>
          </w:p>
        </w:tc>
      </w:tr>
      <w:tr w:rsidR="00CC4E30" w:rsidRPr="00CC4E30" w:rsidTr="00183B34">
        <w:trPr>
          <w:trHeight w:val="230"/>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Aspartame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r w:rsidR="00CC4E30" w:rsidRPr="00CC4E30" w:rsidTr="00183B34">
        <w:trPr>
          <w:trHeight w:val="244"/>
        </w:trPr>
        <w:tc>
          <w:tcPr>
            <w:tcW w:w="3227" w:type="dxa"/>
            <w:vAlign w:val="center"/>
          </w:tcPr>
          <w:p w:rsidR="00CC4E30" w:rsidRPr="00CC4E30" w:rsidRDefault="00CC4E30" w:rsidP="00CC4E30">
            <w:pPr>
              <w:rPr>
                <w:rFonts w:eastAsia="Times New Roman"/>
                <w:sz w:val="20"/>
                <w:szCs w:val="20"/>
              </w:rPr>
            </w:pPr>
            <w:r w:rsidRPr="00CC4E30">
              <w:rPr>
                <w:rFonts w:eastAsia="Times New Roman"/>
                <w:sz w:val="20"/>
                <w:szCs w:val="20"/>
              </w:rPr>
              <w:t>Sodium benzoate</w:t>
            </w:r>
          </w:p>
        </w:tc>
        <w:tc>
          <w:tcPr>
            <w:tcW w:w="1134" w:type="dxa"/>
            <w:vAlign w:val="center"/>
          </w:tcPr>
          <w:p w:rsidR="00CC4E30" w:rsidRPr="00CC4E30" w:rsidRDefault="00CC4E30" w:rsidP="00CC4E30">
            <w:pPr>
              <w:jc w:val="center"/>
              <w:rPr>
                <w:rFonts w:eastAsia="Times New Roman"/>
                <w:sz w:val="20"/>
                <w:szCs w:val="20"/>
              </w:rPr>
            </w:pPr>
            <w:r w:rsidRPr="00CC4E30">
              <w:rPr>
                <w:rFonts w:eastAsia="Times New Roman"/>
                <w:sz w:val="20"/>
                <w:szCs w:val="20"/>
              </w:rPr>
              <w:t>BP</w:t>
            </w:r>
          </w:p>
        </w:tc>
      </w:tr>
    </w:tbl>
    <w:p w:rsidR="004860FE" w:rsidRPr="00183B34" w:rsidRDefault="004860FE">
      <w:pPr>
        <w:pStyle w:val="BodyText"/>
        <w:spacing w:before="7"/>
        <w:rPr>
          <w:sz w:val="14"/>
          <w:szCs w:val="8"/>
        </w:rPr>
      </w:pPr>
    </w:p>
    <w:p w:rsidR="004860FE" w:rsidRDefault="00E34B4E" w:rsidP="00183B34">
      <w:pPr>
        <w:pStyle w:val="Heading3"/>
        <w:numPr>
          <w:ilvl w:val="1"/>
          <w:numId w:val="1"/>
        </w:numPr>
        <w:tabs>
          <w:tab w:val="left" w:pos="622"/>
          <w:tab w:val="left" w:pos="623"/>
        </w:tabs>
        <w:spacing w:before="0"/>
        <w:ind w:left="622" w:hanging="517"/>
      </w:pPr>
      <w:r>
        <w:t>Incompatibilities</w:t>
      </w:r>
    </w:p>
    <w:p w:rsidR="00E14F73" w:rsidRDefault="00E14F73" w:rsidP="00171490">
      <w:pPr>
        <w:pStyle w:val="BodyText"/>
        <w:ind w:firstLine="622"/>
        <w:rPr>
          <w:bCs/>
        </w:rPr>
      </w:pPr>
    </w:p>
    <w:p w:rsidR="004860FE" w:rsidRDefault="00171490" w:rsidP="00171490">
      <w:pPr>
        <w:pStyle w:val="BodyText"/>
        <w:ind w:firstLine="622"/>
        <w:rPr>
          <w:bCs/>
        </w:rPr>
      </w:pPr>
      <w:r w:rsidRPr="00171490">
        <w:rPr>
          <w:bCs/>
        </w:rPr>
        <w:t>Not applicable</w:t>
      </w:r>
    </w:p>
    <w:p w:rsidR="00E14F73" w:rsidRPr="00171490" w:rsidRDefault="00E14F73" w:rsidP="00171490">
      <w:pPr>
        <w:pStyle w:val="BodyText"/>
        <w:ind w:firstLine="622"/>
        <w:rPr>
          <w:bCs/>
        </w:rPr>
      </w:pPr>
    </w:p>
    <w:p w:rsidR="004860FE" w:rsidRDefault="00E34B4E">
      <w:pPr>
        <w:pStyle w:val="Heading3"/>
        <w:numPr>
          <w:ilvl w:val="1"/>
          <w:numId w:val="1"/>
        </w:numPr>
        <w:tabs>
          <w:tab w:val="left" w:pos="661"/>
          <w:tab w:val="left" w:pos="662"/>
        </w:tabs>
        <w:spacing w:before="1"/>
        <w:ind w:left="661" w:hanging="556"/>
      </w:pPr>
      <w:r>
        <w:t>Shelf</w:t>
      </w:r>
      <w:r w:rsidR="00DB45A3">
        <w:t xml:space="preserve"> </w:t>
      </w:r>
      <w:r>
        <w:t>life</w:t>
      </w:r>
    </w:p>
    <w:p w:rsidR="007C54FE" w:rsidRDefault="007C54FE" w:rsidP="00DB45A3">
      <w:pPr>
        <w:pStyle w:val="Heading3"/>
        <w:tabs>
          <w:tab w:val="left" w:pos="661"/>
          <w:tab w:val="left" w:pos="662"/>
        </w:tabs>
        <w:spacing w:before="1"/>
        <w:ind w:left="661" w:firstLine="0"/>
        <w:rPr>
          <w:b w:val="0"/>
          <w:bCs w:val="0"/>
        </w:rPr>
      </w:pPr>
    </w:p>
    <w:p w:rsidR="00DB45A3" w:rsidRPr="00DB45A3" w:rsidRDefault="00DB45A3" w:rsidP="00DB45A3">
      <w:pPr>
        <w:pStyle w:val="Heading3"/>
        <w:tabs>
          <w:tab w:val="left" w:pos="661"/>
          <w:tab w:val="left" w:pos="662"/>
        </w:tabs>
        <w:spacing w:before="1"/>
        <w:ind w:left="661" w:firstLine="0"/>
        <w:rPr>
          <w:b w:val="0"/>
          <w:bCs w:val="0"/>
        </w:rPr>
      </w:pPr>
      <w:r w:rsidRPr="00DB45A3">
        <w:rPr>
          <w:b w:val="0"/>
          <w:bCs w:val="0"/>
        </w:rPr>
        <w:t xml:space="preserve">24 months </w:t>
      </w:r>
    </w:p>
    <w:p w:rsidR="004860FE" w:rsidRDefault="004860FE">
      <w:pPr>
        <w:pStyle w:val="BodyText"/>
        <w:rPr>
          <w:b/>
          <w:sz w:val="24"/>
        </w:rPr>
      </w:pPr>
    </w:p>
    <w:p w:rsidR="004860FE" w:rsidRDefault="00E34B4E" w:rsidP="00582D9A">
      <w:pPr>
        <w:pStyle w:val="Heading3"/>
        <w:numPr>
          <w:ilvl w:val="1"/>
          <w:numId w:val="1"/>
        </w:numPr>
        <w:tabs>
          <w:tab w:val="left" w:pos="617"/>
          <w:tab w:val="left" w:pos="619"/>
        </w:tabs>
        <w:spacing w:before="0"/>
        <w:ind w:left="618" w:hanging="513"/>
      </w:pPr>
      <w:r>
        <w:t>Special precautions for</w:t>
      </w:r>
      <w:r w:rsidR="005104B6">
        <w:t xml:space="preserve"> </w:t>
      </w:r>
      <w:r>
        <w:t>storage</w:t>
      </w:r>
    </w:p>
    <w:p w:rsidR="004860FE" w:rsidRDefault="004860FE">
      <w:pPr>
        <w:pStyle w:val="BodyText"/>
        <w:rPr>
          <w:b/>
          <w:sz w:val="24"/>
        </w:rPr>
      </w:pPr>
    </w:p>
    <w:p w:rsidR="005104B6" w:rsidRPr="005104B6" w:rsidRDefault="005104B6" w:rsidP="005104B6">
      <w:pPr>
        <w:pStyle w:val="BodyText"/>
        <w:ind w:left="567"/>
        <w:rPr>
          <w:bCs/>
        </w:rPr>
      </w:pPr>
      <w:r w:rsidRPr="005104B6">
        <w:rPr>
          <w:bCs/>
        </w:rPr>
        <w:t xml:space="preserve">Do not store above 30°C. </w:t>
      </w:r>
    </w:p>
    <w:p w:rsidR="005104B6" w:rsidRPr="005104B6" w:rsidRDefault="005104B6" w:rsidP="005104B6">
      <w:pPr>
        <w:pStyle w:val="BodyText"/>
        <w:ind w:left="567"/>
        <w:rPr>
          <w:bCs/>
        </w:rPr>
      </w:pPr>
      <w:r w:rsidRPr="005104B6">
        <w:rPr>
          <w:bCs/>
        </w:rPr>
        <w:t>KEEP OUT OF REACH OF CHILDREN</w:t>
      </w:r>
    </w:p>
    <w:p w:rsidR="004860FE" w:rsidRDefault="004860FE">
      <w:pPr>
        <w:pStyle w:val="BodyText"/>
        <w:rPr>
          <w:sz w:val="24"/>
        </w:rPr>
      </w:pPr>
    </w:p>
    <w:p w:rsidR="004860FE" w:rsidRDefault="00E34B4E">
      <w:pPr>
        <w:pStyle w:val="Heading3"/>
        <w:numPr>
          <w:ilvl w:val="1"/>
          <w:numId w:val="1"/>
        </w:numPr>
        <w:tabs>
          <w:tab w:val="left" w:pos="677"/>
          <w:tab w:val="left" w:pos="679"/>
        </w:tabs>
        <w:spacing w:before="146" w:line="362" w:lineRule="auto"/>
        <w:ind w:left="678" w:right="454" w:hanging="572"/>
      </w:pPr>
      <w:r>
        <w:t>Nature</w:t>
      </w:r>
      <w:r w:rsidR="0054680A">
        <w:t xml:space="preserve"> </w:t>
      </w:r>
      <w:r>
        <w:t>and</w:t>
      </w:r>
      <w:r w:rsidR="0054680A">
        <w:t xml:space="preserve"> </w:t>
      </w:r>
      <w:r>
        <w:t>contents</w:t>
      </w:r>
      <w:r w:rsidR="0054680A">
        <w:t xml:space="preserve"> </w:t>
      </w:r>
      <w:r>
        <w:t>of</w:t>
      </w:r>
      <w:r w:rsidR="0054680A">
        <w:t xml:space="preserve"> </w:t>
      </w:r>
      <w:r>
        <w:t>container&lt;and</w:t>
      </w:r>
      <w:r w:rsidR="0054680A">
        <w:t xml:space="preserve"> </w:t>
      </w:r>
      <w:r>
        <w:t>special</w:t>
      </w:r>
      <w:r w:rsidR="0054680A">
        <w:t xml:space="preserve"> </w:t>
      </w:r>
      <w:r>
        <w:t>equipment</w:t>
      </w:r>
      <w:r w:rsidR="0054680A">
        <w:t xml:space="preserve"> </w:t>
      </w:r>
      <w:r>
        <w:t>for</w:t>
      </w:r>
      <w:r w:rsidR="0054680A">
        <w:t xml:space="preserve"> </w:t>
      </w:r>
      <w:r>
        <w:t>use,</w:t>
      </w:r>
      <w:r w:rsidR="0054680A">
        <w:t xml:space="preserve"> </w:t>
      </w:r>
      <w:r>
        <w:t>administration</w:t>
      </w:r>
      <w:r w:rsidR="0054680A">
        <w:t xml:space="preserve"> </w:t>
      </w:r>
      <w:r>
        <w:t>or implantation&gt;</w:t>
      </w:r>
    </w:p>
    <w:p w:rsidR="004860FE" w:rsidRPr="0054680A" w:rsidRDefault="0054680A" w:rsidP="0054680A">
      <w:pPr>
        <w:pStyle w:val="BodyText"/>
        <w:spacing w:before="3"/>
        <w:ind w:firstLine="678"/>
        <w:rPr>
          <w:bCs/>
        </w:rPr>
      </w:pPr>
      <w:r w:rsidRPr="0054680A">
        <w:rPr>
          <w:bCs/>
        </w:rPr>
        <w:t>1 X 10 Tablets Alu-Alu is packed in a carton with package insert</w:t>
      </w:r>
      <w:r>
        <w:rPr>
          <w:bCs/>
        </w:rPr>
        <w:t>.</w:t>
      </w:r>
    </w:p>
    <w:p w:rsidR="004860FE" w:rsidRDefault="00E34B4E">
      <w:pPr>
        <w:pStyle w:val="Heading3"/>
        <w:numPr>
          <w:ilvl w:val="1"/>
          <w:numId w:val="1"/>
        </w:numPr>
        <w:tabs>
          <w:tab w:val="left" w:pos="535"/>
        </w:tabs>
        <w:spacing w:before="202"/>
        <w:ind w:left="534" w:hanging="429"/>
      </w:pPr>
      <w:r>
        <w:t>Special precautions for disposal &lt;and other</w:t>
      </w:r>
      <w:r w:rsidR="00F64E34">
        <w:t xml:space="preserve"> </w:t>
      </w:r>
      <w:r>
        <w:t>handling&gt;</w:t>
      </w:r>
    </w:p>
    <w:p w:rsidR="00F64E34" w:rsidRDefault="00F64E34" w:rsidP="00F64E34">
      <w:pPr>
        <w:ind w:firstLine="534"/>
        <w:rPr>
          <w:color w:val="000000"/>
          <w:sz w:val="20"/>
          <w:szCs w:val="20"/>
        </w:rPr>
      </w:pPr>
    </w:p>
    <w:p w:rsidR="00F64E34" w:rsidRPr="00F64E34" w:rsidRDefault="00F64E34" w:rsidP="00F64E34">
      <w:pPr>
        <w:ind w:firstLine="534"/>
        <w:rPr>
          <w:color w:val="000000"/>
          <w:sz w:val="20"/>
          <w:szCs w:val="20"/>
        </w:rPr>
      </w:pPr>
      <w:r w:rsidRPr="00F64E34">
        <w:rPr>
          <w:color w:val="000000"/>
          <w:sz w:val="20"/>
          <w:szCs w:val="20"/>
        </w:rPr>
        <w:t>No special requirements.</w:t>
      </w:r>
    </w:p>
    <w:p w:rsidR="004860FE" w:rsidRDefault="004860FE">
      <w:pPr>
        <w:pStyle w:val="BodyText"/>
        <w:rPr>
          <w:b/>
          <w:sz w:val="24"/>
        </w:rPr>
      </w:pPr>
    </w:p>
    <w:p w:rsidR="004860FE" w:rsidRDefault="00582D9A">
      <w:pPr>
        <w:pStyle w:val="Heading3"/>
        <w:numPr>
          <w:ilvl w:val="0"/>
          <w:numId w:val="1"/>
        </w:numPr>
        <w:tabs>
          <w:tab w:val="left" w:pos="415"/>
        </w:tabs>
        <w:spacing w:before="99"/>
        <w:ind w:left="414" w:hanging="309"/>
      </w:pPr>
      <w:r>
        <w:t>APPLICANT/MANUFACTURER</w:t>
      </w:r>
    </w:p>
    <w:p w:rsidR="004860FE" w:rsidRDefault="004860FE">
      <w:pPr>
        <w:pStyle w:val="BodyText"/>
        <w:rPr>
          <w:b/>
          <w:sz w:val="24"/>
        </w:rPr>
      </w:pPr>
    </w:p>
    <w:p w:rsidR="001E2D7F" w:rsidRPr="00C723F3" w:rsidRDefault="00FE5593" w:rsidP="001E2D7F">
      <w:pPr>
        <w:pStyle w:val="NormalWeb"/>
        <w:spacing w:before="0" w:beforeAutospacing="0" w:after="0"/>
      </w:pPr>
      <w:r>
        <w:t xml:space="preserve">       </w:t>
      </w:r>
      <w:r w:rsidR="001E2D7F">
        <w:rPr>
          <w:noProof/>
        </w:rPr>
        <w:drawing>
          <wp:inline distT="0" distB="0" distL="0" distR="0">
            <wp:extent cx="1716405" cy="457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716405" cy="457200"/>
                    </a:xfrm>
                    <a:prstGeom prst="rect">
                      <a:avLst/>
                    </a:prstGeom>
                    <a:noFill/>
                    <a:ln w="9525">
                      <a:noFill/>
                      <a:miter lim="800000"/>
                      <a:headEnd/>
                      <a:tailEnd/>
                    </a:ln>
                  </pic:spPr>
                </pic:pic>
              </a:graphicData>
            </a:graphic>
          </wp:inline>
        </w:drawing>
      </w:r>
    </w:p>
    <w:p w:rsidR="001E2D7F" w:rsidRPr="001E2D7F" w:rsidRDefault="001E2D7F" w:rsidP="00FE5593">
      <w:pPr>
        <w:ind w:left="426"/>
        <w:jc w:val="both"/>
        <w:rPr>
          <w:sz w:val="20"/>
          <w:szCs w:val="20"/>
        </w:rPr>
      </w:pPr>
      <w:r w:rsidRPr="001E2D7F">
        <w:rPr>
          <w:sz w:val="20"/>
          <w:szCs w:val="20"/>
        </w:rPr>
        <w:t xml:space="preserve">Ahmedabad </w:t>
      </w:r>
    </w:p>
    <w:p w:rsidR="001E2D7F" w:rsidRPr="001E2D7F" w:rsidRDefault="001E2D7F" w:rsidP="00FE5593">
      <w:pPr>
        <w:ind w:left="426"/>
        <w:jc w:val="both"/>
        <w:rPr>
          <w:sz w:val="20"/>
          <w:szCs w:val="20"/>
          <w:u w:val="single"/>
        </w:rPr>
      </w:pPr>
      <w:r w:rsidRPr="001E2D7F">
        <w:rPr>
          <w:sz w:val="20"/>
          <w:szCs w:val="20"/>
        </w:rPr>
        <w:t xml:space="preserve">Email  : </w:t>
      </w:r>
      <w:hyperlink r:id="rId15" w:history="1">
        <w:r w:rsidRPr="001E2D7F">
          <w:rPr>
            <w:rStyle w:val="Hyperlink"/>
            <w:sz w:val="20"/>
            <w:szCs w:val="20"/>
          </w:rPr>
          <w:t>info@sagalabs.com</w:t>
        </w:r>
      </w:hyperlink>
      <w:r w:rsidRPr="001E2D7F">
        <w:rPr>
          <w:sz w:val="20"/>
          <w:szCs w:val="20"/>
          <w:u w:val="single"/>
        </w:rPr>
        <w:t xml:space="preserve"> </w:t>
      </w:r>
    </w:p>
    <w:p w:rsidR="001E2D7F" w:rsidRPr="001E2D7F" w:rsidRDefault="001E2D7F" w:rsidP="00FE5593">
      <w:pPr>
        <w:ind w:left="426"/>
        <w:jc w:val="both"/>
        <w:rPr>
          <w:sz w:val="20"/>
          <w:szCs w:val="20"/>
        </w:rPr>
      </w:pPr>
      <w:r w:rsidRPr="001E2D7F">
        <w:rPr>
          <w:sz w:val="20"/>
          <w:szCs w:val="20"/>
        </w:rPr>
        <w:t xml:space="preserve">URL : </w:t>
      </w:r>
      <w:hyperlink r:id="rId16" w:history="1">
        <w:r w:rsidRPr="001E2D7F">
          <w:rPr>
            <w:rStyle w:val="Hyperlink"/>
            <w:sz w:val="20"/>
            <w:szCs w:val="20"/>
          </w:rPr>
          <w:t>www.sagalabs.com</w:t>
        </w:r>
      </w:hyperlink>
      <w:r w:rsidRPr="001E2D7F">
        <w:rPr>
          <w:sz w:val="20"/>
          <w:szCs w:val="20"/>
          <w:u w:val="single"/>
        </w:rPr>
        <w:t xml:space="preserve"> </w:t>
      </w:r>
    </w:p>
    <w:p w:rsidR="001E2D7F" w:rsidRDefault="001E2D7F" w:rsidP="00FE5593">
      <w:pPr>
        <w:pStyle w:val="BodyText"/>
        <w:ind w:left="426"/>
        <w:rPr>
          <w:b/>
          <w:sz w:val="24"/>
        </w:rPr>
      </w:pPr>
    </w:p>
    <w:sectPr w:rsidR="001E2D7F" w:rsidSect="00970057">
      <w:footerReference w:type="default" r:id="rId17"/>
      <w:pgSz w:w="11920" w:h="16860"/>
      <w:pgMar w:top="1600" w:right="1060" w:bottom="1220" w:left="13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2F" w:rsidRDefault="0081312F">
      <w:r>
        <w:separator/>
      </w:r>
    </w:p>
  </w:endnote>
  <w:endnote w:type="continuationSeparator" w:id="0">
    <w:p w:rsidR="0081312F" w:rsidRDefault="0081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FE" w:rsidRDefault="004020E8">
    <w:pPr>
      <w:pStyle w:val="BodyText"/>
      <w:spacing w:line="14" w:lineRule="auto"/>
      <w:rPr>
        <w:sz w:val="16"/>
      </w:rPr>
    </w:pPr>
    <w:r>
      <w:rPr>
        <w:noProof/>
      </w:rPr>
      <mc:AlternateContent>
        <mc:Choice Requires="wps">
          <w:drawing>
            <wp:anchor distT="0" distB="0" distL="114300" distR="114300" simplePos="0" relativeHeight="487413248" behindDoc="1" locked="0" layoutInCell="1" allowOverlap="1">
              <wp:simplePos x="0" y="0"/>
              <wp:positionH relativeFrom="page">
                <wp:posOffset>5926455</wp:posOffset>
              </wp:positionH>
              <wp:positionV relativeFrom="page">
                <wp:posOffset>9908540</wp:posOffset>
              </wp:positionV>
              <wp:extent cx="855980" cy="178435"/>
              <wp:effectExtent l="1905" t="254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59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0FE" w:rsidRDefault="00E34B4E">
                          <w:pPr>
                            <w:spacing w:before="19"/>
                            <w:ind w:left="20"/>
                            <w:rPr>
                              <w:b/>
                              <w:sz w:val="20"/>
                            </w:rPr>
                          </w:pPr>
                          <w:r>
                            <w:rPr>
                              <w:sz w:val="20"/>
                            </w:rPr>
                            <w:t xml:space="preserve">Page </w:t>
                          </w:r>
                          <w:r w:rsidR="00384341">
                            <w:rPr>
                              <w:b/>
                              <w:noProof/>
                              <w:sz w:val="20"/>
                            </w:rPr>
                            <w:t>1</w:t>
                          </w:r>
                          <w:r>
                            <w:rPr>
                              <w:sz w:val="20"/>
                            </w:rPr>
                            <w:t xml:space="preserve">of </w:t>
                          </w:r>
                          <w:r w:rsidR="00F15A27">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466.65pt;margin-top:780.2pt;width:67.4pt;height:14.05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" filled="f" stroked="f">
              <v:path arrowok="t"/>
              <v:textbox inset="0,0,0,0">
                <w:txbxContent>
                  <w:p w:rsidR="004860FE" w:rsidRDefault="00E34B4E">
                    <w:pPr>
                      <w:spacing w:before="19"/>
                      <w:ind w:left="20"/>
                      <w:rPr>
                        <w:b/>
                        <w:sz w:val="20"/>
                      </w:rPr>
                    </w:pPr>
                    <w:r>
                      <w:rPr>
                        <w:sz w:val="20"/>
                      </w:rPr>
                      <w:t xml:space="preserve">Page </w:t>
                    </w:r>
                    <w:r w:rsidR="00384341">
                      <w:rPr>
                        <w:b/>
                        <w:noProof/>
                        <w:sz w:val="20"/>
                      </w:rPr>
                      <w:t>1</w:t>
                    </w:r>
                    <w:r>
                      <w:rPr>
                        <w:sz w:val="20"/>
                      </w:rPr>
                      <w:t xml:space="preserve">of </w:t>
                    </w:r>
                    <w:r w:rsidR="00F15A27">
                      <w:rPr>
                        <w:b/>
                        <w:sz w:val="20"/>
                      </w:rPr>
                      <w:t>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FE" w:rsidRDefault="004020E8">
    <w:pPr>
      <w:pStyle w:val="BodyText"/>
      <w:spacing w:line="14" w:lineRule="auto"/>
      <w:rPr>
        <w:sz w:val="18"/>
      </w:rPr>
    </w:pPr>
    <w:r>
      <w:rPr>
        <w:noProof/>
      </w:rPr>
      <mc:AlternateContent>
        <mc:Choice Requires="wps">
          <w:drawing>
            <wp:anchor distT="0" distB="0" distL="114300" distR="114300" simplePos="0" relativeHeight="487413760" behindDoc="1" locked="0" layoutInCell="1" allowOverlap="1">
              <wp:simplePos x="0" y="0"/>
              <wp:positionH relativeFrom="page">
                <wp:posOffset>5814060</wp:posOffset>
              </wp:positionH>
              <wp:positionV relativeFrom="page">
                <wp:posOffset>9908540</wp:posOffset>
              </wp:positionV>
              <wp:extent cx="968375" cy="178435"/>
              <wp:effectExtent l="3810" t="254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83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0FE" w:rsidRDefault="00E34B4E">
                          <w:pPr>
                            <w:spacing w:before="19"/>
                            <w:ind w:left="20"/>
                            <w:rPr>
                              <w:b/>
                              <w:sz w:val="20"/>
                            </w:rPr>
                          </w:pPr>
                          <w:r>
                            <w:rPr>
                              <w:sz w:val="20"/>
                            </w:rPr>
                            <w:t xml:space="preserve">Page </w:t>
                          </w:r>
                          <w:r w:rsidR="00E14F73">
                            <w:rPr>
                              <w:b/>
                              <w:noProof/>
                              <w:sz w:val="20"/>
                            </w:rPr>
                            <w:t>7</w:t>
                          </w:r>
                          <w:r w:rsidR="00695523">
                            <w:t xml:space="preserve"> </w:t>
                          </w:r>
                          <w:r>
                            <w:rPr>
                              <w:sz w:val="20"/>
                            </w:rPr>
                            <w:t xml:space="preserve">of </w:t>
                          </w:r>
                          <w:r w:rsidR="00F15A27">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7" type="#_x0000_t202" style="position:absolute;margin-left:457.8pt;margin-top:780.2pt;width:76.25pt;height:14.0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" filled="f" stroked="f">
              <v:path arrowok="t"/>
              <v:textbox inset="0,0,0,0">
                <w:txbxContent>
                  <w:p w:rsidR="004860FE" w:rsidRDefault="00E34B4E">
                    <w:pPr>
                      <w:spacing w:before="19"/>
                      <w:ind w:left="20"/>
                      <w:rPr>
                        <w:b/>
                        <w:sz w:val="20"/>
                      </w:rPr>
                    </w:pPr>
                    <w:r>
                      <w:rPr>
                        <w:sz w:val="20"/>
                      </w:rPr>
                      <w:t xml:space="preserve">Page </w:t>
                    </w:r>
                    <w:r w:rsidR="00E14F73">
                      <w:rPr>
                        <w:b/>
                        <w:noProof/>
                        <w:sz w:val="20"/>
                      </w:rPr>
                      <w:t>7</w:t>
                    </w:r>
                    <w:r w:rsidR="00695523">
                      <w:t xml:space="preserve"> </w:t>
                    </w:r>
                    <w:r>
                      <w:rPr>
                        <w:sz w:val="20"/>
                      </w:rPr>
                      <w:t xml:space="preserve">of </w:t>
                    </w:r>
                    <w:r w:rsidR="00F15A27">
                      <w:rPr>
                        <w:b/>
                        <w:sz w:val="20"/>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2F" w:rsidRDefault="0081312F">
      <w:r>
        <w:separator/>
      </w:r>
    </w:p>
  </w:footnote>
  <w:footnote w:type="continuationSeparator" w:id="0">
    <w:p w:rsidR="0081312F" w:rsidRDefault="0081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F1E"/>
    <w:multiLevelType w:val="hybridMultilevel"/>
    <w:tmpl w:val="0C32252E"/>
    <w:lvl w:ilvl="0" w:tplc="40090001">
      <w:start w:val="1"/>
      <w:numFmt w:val="bullet"/>
      <w:lvlText w:val=""/>
      <w:lvlJc w:val="left"/>
      <w:pPr>
        <w:ind w:left="903" w:hanging="360"/>
      </w:pPr>
      <w:rPr>
        <w:rFonts w:ascii="Symbol" w:hAnsi="Symbol" w:hint="default"/>
      </w:rPr>
    </w:lvl>
    <w:lvl w:ilvl="1" w:tplc="40090003" w:tentative="1">
      <w:start w:val="1"/>
      <w:numFmt w:val="bullet"/>
      <w:lvlText w:val="o"/>
      <w:lvlJc w:val="left"/>
      <w:pPr>
        <w:ind w:left="1623" w:hanging="360"/>
      </w:pPr>
      <w:rPr>
        <w:rFonts w:ascii="Courier New" w:hAnsi="Courier New" w:cs="Courier New" w:hint="default"/>
      </w:rPr>
    </w:lvl>
    <w:lvl w:ilvl="2" w:tplc="40090005" w:tentative="1">
      <w:start w:val="1"/>
      <w:numFmt w:val="bullet"/>
      <w:lvlText w:val=""/>
      <w:lvlJc w:val="left"/>
      <w:pPr>
        <w:ind w:left="2343" w:hanging="360"/>
      </w:pPr>
      <w:rPr>
        <w:rFonts w:ascii="Wingdings" w:hAnsi="Wingdings" w:hint="default"/>
      </w:rPr>
    </w:lvl>
    <w:lvl w:ilvl="3" w:tplc="40090001" w:tentative="1">
      <w:start w:val="1"/>
      <w:numFmt w:val="bullet"/>
      <w:lvlText w:val=""/>
      <w:lvlJc w:val="left"/>
      <w:pPr>
        <w:ind w:left="3063" w:hanging="360"/>
      </w:pPr>
      <w:rPr>
        <w:rFonts w:ascii="Symbol" w:hAnsi="Symbol" w:hint="default"/>
      </w:rPr>
    </w:lvl>
    <w:lvl w:ilvl="4" w:tplc="40090003" w:tentative="1">
      <w:start w:val="1"/>
      <w:numFmt w:val="bullet"/>
      <w:lvlText w:val="o"/>
      <w:lvlJc w:val="left"/>
      <w:pPr>
        <w:ind w:left="3783" w:hanging="360"/>
      </w:pPr>
      <w:rPr>
        <w:rFonts w:ascii="Courier New" w:hAnsi="Courier New" w:cs="Courier New" w:hint="default"/>
      </w:rPr>
    </w:lvl>
    <w:lvl w:ilvl="5" w:tplc="40090005" w:tentative="1">
      <w:start w:val="1"/>
      <w:numFmt w:val="bullet"/>
      <w:lvlText w:val=""/>
      <w:lvlJc w:val="left"/>
      <w:pPr>
        <w:ind w:left="4503" w:hanging="360"/>
      </w:pPr>
      <w:rPr>
        <w:rFonts w:ascii="Wingdings" w:hAnsi="Wingdings" w:hint="default"/>
      </w:rPr>
    </w:lvl>
    <w:lvl w:ilvl="6" w:tplc="40090001" w:tentative="1">
      <w:start w:val="1"/>
      <w:numFmt w:val="bullet"/>
      <w:lvlText w:val=""/>
      <w:lvlJc w:val="left"/>
      <w:pPr>
        <w:ind w:left="5223" w:hanging="360"/>
      </w:pPr>
      <w:rPr>
        <w:rFonts w:ascii="Symbol" w:hAnsi="Symbol" w:hint="default"/>
      </w:rPr>
    </w:lvl>
    <w:lvl w:ilvl="7" w:tplc="40090003" w:tentative="1">
      <w:start w:val="1"/>
      <w:numFmt w:val="bullet"/>
      <w:lvlText w:val="o"/>
      <w:lvlJc w:val="left"/>
      <w:pPr>
        <w:ind w:left="5943" w:hanging="360"/>
      </w:pPr>
      <w:rPr>
        <w:rFonts w:ascii="Courier New" w:hAnsi="Courier New" w:cs="Courier New" w:hint="default"/>
      </w:rPr>
    </w:lvl>
    <w:lvl w:ilvl="8" w:tplc="40090005" w:tentative="1">
      <w:start w:val="1"/>
      <w:numFmt w:val="bullet"/>
      <w:lvlText w:val=""/>
      <w:lvlJc w:val="left"/>
      <w:pPr>
        <w:ind w:left="6663" w:hanging="360"/>
      </w:pPr>
      <w:rPr>
        <w:rFonts w:ascii="Wingdings" w:hAnsi="Wingdings" w:hint="default"/>
      </w:rPr>
    </w:lvl>
  </w:abstractNum>
  <w:abstractNum w:abstractNumId="1" w15:restartNumberingAfterBreak="0">
    <w:nsid w:val="42F61762"/>
    <w:multiLevelType w:val="hybridMultilevel"/>
    <w:tmpl w:val="6AAE3010"/>
    <w:lvl w:ilvl="0" w:tplc="4009000F">
      <w:start w:val="1"/>
      <w:numFmt w:val="decimal"/>
      <w:lvlText w:val="%1."/>
      <w:lvlJc w:val="left"/>
      <w:pPr>
        <w:ind w:left="903" w:hanging="360"/>
      </w:pPr>
    </w:lvl>
    <w:lvl w:ilvl="1" w:tplc="40090019" w:tentative="1">
      <w:start w:val="1"/>
      <w:numFmt w:val="lowerLetter"/>
      <w:lvlText w:val="%2."/>
      <w:lvlJc w:val="left"/>
      <w:pPr>
        <w:ind w:left="1623" w:hanging="360"/>
      </w:pPr>
    </w:lvl>
    <w:lvl w:ilvl="2" w:tplc="4009001B" w:tentative="1">
      <w:start w:val="1"/>
      <w:numFmt w:val="lowerRoman"/>
      <w:lvlText w:val="%3."/>
      <w:lvlJc w:val="right"/>
      <w:pPr>
        <w:ind w:left="2343" w:hanging="180"/>
      </w:pPr>
    </w:lvl>
    <w:lvl w:ilvl="3" w:tplc="4009000F" w:tentative="1">
      <w:start w:val="1"/>
      <w:numFmt w:val="decimal"/>
      <w:lvlText w:val="%4."/>
      <w:lvlJc w:val="left"/>
      <w:pPr>
        <w:ind w:left="3063" w:hanging="360"/>
      </w:pPr>
    </w:lvl>
    <w:lvl w:ilvl="4" w:tplc="40090019" w:tentative="1">
      <w:start w:val="1"/>
      <w:numFmt w:val="lowerLetter"/>
      <w:lvlText w:val="%5."/>
      <w:lvlJc w:val="left"/>
      <w:pPr>
        <w:ind w:left="3783" w:hanging="360"/>
      </w:pPr>
    </w:lvl>
    <w:lvl w:ilvl="5" w:tplc="4009001B" w:tentative="1">
      <w:start w:val="1"/>
      <w:numFmt w:val="lowerRoman"/>
      <w:lvlText w:val="%6."/>
      <w:lvlJc w:val="right"/>
      <w:pPr>
        <w:ind w:left="4503" w:hanging="180"/>
      </w:pPr>
    </w:lvl>
    <w:lvl w:ilvl="6" w:tplc="4009000F" w:tentative="1">
      <w:start w:val="1"/>
      <w:numFmt w:val="decimal"/>
      <w:lvlText w:val="%7."/>
      <w:lvlJc w:val="left"/>
      <w:pPr>
        <w:ind w:left="5223" w:hanging="360"/>
      </w:pPr>
    </w:lvl>
    <w:lvl w:ilvl="7" w:tplc="40090019" w:tentative="1">
      <w:start w:val="1"/>
      <w:numFmt w:val="lowerLetter"/>
      <w:lvlText w:val="%8."/>
      <w:lvlJc w:val="left"/>
      <w:pPr>
        <w:ind w:left="5943" w:hanging="360"/>
      </w:pPr>
    </w:lvl>
    <w:lvl w:ilvl="8" w:tplc="4009001B" w:tentative="1">
      <w:start w:val="1"/>
      <w:numFmt w:val="lowerRoman"/>
      <w:lvlText w:val="%9."/>
      <w:lvlJc w:val="right"/>
      <w:pPr>
        <w:ind w:left="6663" w:hanging="180"/>
      </w:pPr>
    </w:lvl>
  </w:abstractNum>
  <w:abstractNum w:abstractNumId="2" w15:restartNumberingAfterBreak="0">
    <w:nsid w:val="57B45E90"/>
    <w:multiLevelType w:val="hybridMultilevel"/>
    <w:tmpl w:val="EC5C4C28"/>
    <w:lvl w:ilvl="0" w:tplc="40090001">
      <w:start w:val="1"/>
      <w:numFmt w:val="bullet"/>
      <w:lvlText w:val=""/>
      <w:lvlJc w:val="left"/>
      <w:pPr>
        <w:ind w:left="903" w:hanging="360"/>
      </w:pPr>
      <w:rPr>
        <w:rFonts w:ascii="Symbol" w:hAnsi="Symbol" w:hint="default"/>
      </w:rPr>
    </w:lvl>
    <w:lvl w:ilvl="1" w:tplc="40090003" w:tentative="1">
      <w:start w:val="1"/>
      <w:numFmt w:val="bullet"/>
      <w:lvlText w:val="o"/>
      <w:lvlJc w:val="left"/>
      <w:pPr>
        <w:ind w:left="1623" w:hanging="360"/>
      </w:pPr>
      <w:rPr>
        <w:rFonts w:ascii="Courier New" w:hAnsi="Courier New" w:cs="Courier New" w:hint="default"/>
      </w:rPr>
    </w:lvl>
    <w:lvl w:ilvl="2" w:tplc="40090005" w:tentative="1">
      <w:start w:val="1"/>
      <w:numFmt w:val="bullet"/>
      <w:lvlText w:val=""/>
      <w:lvlJc w:val="left"/>
      <w:pPr>
        <w:ind w:left="2343" w:hanging="360"/>
      </w:pPr>
      <w:rPr>
        <w:rFonts w:ascii="Wingdings" w:hAnsi="Wingdings" w:hint="default"/>
      </w:rPr>
    </w:lvl>
    <w:lvl w:ilvl="3" w:tplc="40090001" w:tentative="1">
      <w:start w:val="1"/>
      <w:numFmt w:val="bullet"/>
      <w:lvlText w:val=""/>
      <w:lvlJc w:val="left"/>
      <w:pPr>
        <w:ind w:left="3063" w:hanging="360"/>
      </w:pPr>
      <w:rPr>
        <w:rFonts w:ascii="Symbol" w:hAnsi="Symbol" w:hint="default"/>
      </w:rPr>
    </w:lvl>
    <w:lvl w:ilvl="4" w:tplc="40090003" w:tentative="1">
      <w:start w:val="1"/>
      <w:numFmt w:val="bullet"/>
      <w:lvlText w:val="o"/>
      <w:lvlJc w:val="left"/>
      <w:pPr>
        <w:ind w:left="3783" w:hanging="360"/>
      </w:pPr>
      <w:rPr>
        <w:rFonts w:ascii="Courier New" w:hAnsi="Courier New" w:cs="Courier New" w:hint="default"/>
      </w:rPr>
    </w:lvl>
    <w:lvl w:ilvl="5" w:tplc="40090005" w:tentative="1">
      <w:start w:val="1"/>
      <w:numFmt w:val="bullet"/>
      <w:lvlText w:val=""/>
      <w:lvlJc w:val="left"/>
      <w:pPr>
        <w:ind w:left="4503" w:hanging="360"/>
      </w:pPr>
      <w:rPr>
        <w:rFonts w:ascii="Wingdings" w:hAnsi="Wingdings" w:hint="default"/>
      </w:rPr>
    </w:lvl>
    <w:lvl w:ilvl="6" w:tplc="40090001" w:tentative="1">
      <w:start w:val="1"/>
      <w:numFmt w:val="bullet"/>
      <w:lvlText w:val=""/>
      <w:lvlJc w:val="left"/>
      <w:pPr>
        <w:ind w:left="5223" w:hanging="360"/>
      </w:pPr>
      <w:rPr>
        <w:rFonts w:ascii="Symbol" w:hAnsi="Symbol" w:hint="default"/>
      </w:rPr>
    </w:lvl>
    <w:lvl w:ilvl="7" w:tplc="40090003" w:tentative="1">
      <w:start w:val="1"/>
      <w:numFmt w:val="bullet"/>
      <w:lvlText w:val="o"/>
      <w:lvlJc w:val="left"/>
      <w:pPr>
        <w:ind w:left="5943" w:hanging="360"/>
      </w:pPr>
      <w:rPr>
        <w:rFonts w:ascii="Courier New" w:hAnsi="Courier New" w:cs="Courier New" w:hint="default"/>
      </w:rPr>
    </w:lvl>
    <w:lvl w:ilvl="8" w:tplc="40090005" w:tentative="1">
      <w:start w:val="1"/>
      <w:numFmt w:val="bullet"/>
      <w:lvlText w:val=""/>
      <w:lvlJc w:val="left"/>
      <w:pPr>
        <w:ind w:left="6663" w:hanging="360"/>
      </w:pPr>
      <w:rPr>
        <w:rFonts w:ascii="Wingdings" w:hAnsi="Wingdings" w:hint="default"/>
      </w:rPr>
    </w:lvl>
  </w:abstractNum>
  <w:abstractNum w:abstractNumId="3" w15:restartNumberingAfterBreak="0">
    <w:nsid w:val="6A5C06E9"/>
    <w:multiLevelType w:val="multilevel"/>
    <w:tmpl w:val="CF26592E"/>
    <w:lvl w:ilvl="0">
      <w:start w:val="1"/>
      <w:numFmt w:val="decimal"/>
      <w:lvlText w:val="%1."/>
      <w:lvlJc w:val="left"/>
      <w:pPr>
        <w:ind w:left="802" w:hanging="696"/>
      </w:pPr>
      <w:rPr>
        <w:rFonts w:ascii="Tahoma" w:eastAsia="Tahoma" w:hAnsi="Tahoma" w:cs="Tahoma" w:hint="default"/>
        <w:b/>
        <w:bCs/>
        <w:w w:val="97"/>
        <w:sz w:val="20"/>
        <w:szCs w:val="20"/>
        <w:lang w:val="en-US" w:eastAsia="en-US" w:bidi="ar-SA"/>
      </w:rPr>
    </w:lvl>
    <w:lvl w:ilvl="1">
      <w:start w:val="1"/>
      <w:numFmt w:val="decimal"/>
      <w:lvlText w:val="%1.%2"/>
      <w:lvlJc w:val="left"/>
      <w:pPr>
        <w:ind w:left="630" w:hanging="524"/>
      </w:pPr>
      <w:rPr>
        <w:rFonts w:ascii="Tahoma" w:eastAsia="Tahoma" w:hAnsi="Tahoma" w:cs="Tahoma" w:hint="default"/>
        <w:b/>
        <w:bCs/>
        <w:w w:val="97"/>
        <w:sz w:val="20"/>
        <w:szCs w:val="20"/>
        <w:lang w:val="en-US" w:eastAsia="en-US" w:bidi="ar-SA"/>
      </w:rPr>
    </w:lvl>
    <w:lvl w:ilvl="2">
      <w:numFmt w:val="bullet"/>
      <w:lvlText w:val="•"/>
      <w:lvlJc w:val="left"/>
      <w:pPr>
        <w:ind w:left="660" w:hanging="524"/>
      </w:pPr>
      <w:rPr>
        <w:rFonts w:hint="default"/>
        <w:lang w:val="en-US" w:eastAsia="en-US" w:bidi="ar-SA"/>
      </w:rPr>
    </w:lvl>
    <w:lvl w:ilvl="3">
      <w:numFmt w:val="bullet"/>
      <w:lvlText w:val="•"/>
      <w:lvlJc w:val="left"/>
      <w:pPr>
        <w:ind w:left="800" w:hanging="524"/>
      </w:pPr>
      <w:rPr>
        <w:rFonts w:hint="default"/>
        <w:lang w:val="en-US" w:eastAsia="en-US" w:bidi="ar-SA"/>
      </w:rPr>
    </w:lvl>
    <w:lvl w:ilvl="4">
      <w:numFmt w:val="bullet"/>
      <w:lvlText w:val="•"/>
      <w:lvlJc w:val="left"/>
      <w:pPr>
        <w:ind w:left="2050" w:hanging="524"/>
      </w:pPr>
      <w:rPr>
        <w:rFonts w:hint="default"/>
        <w:lang w:val="en-US" w:eastAsia="en-US" w:bidi="ar-SA"/>
      </w:rPr>
    </w:lvl>
    <w:lvl w:ilvl="5">
      <w:numFmt w:val="bullet"/>
      <w:lvlText w:val="•"/>
      <w:lvlJc w:val="left"/>
      <w:pPr>
        <w:ind w:left="3300" w:hanging="524"/>
      </w:pPr>
      <w:rPr>
        <w:rFonts w:hint="default"/>
        <w:lang w:val="en-US" w:eastAsia="en-US" w:bidi="ar-SA"/>
      </w:rPr>
    </w:lvl>
    <w:lvl w:ilvl="6">
      <w:numFmt w:val="bullet"/>
      <w:lvlText w:val="•"/>
      <w:lvlJc w:val="left"/>
      <w:pPr>
        <w:ind w:left="4550" w:hanging="524"/>
      </w:pPr>
      <w:rPr>
        <w:rFonts w:hint="default"/>
        <w:lang w:val="en-US" w:eastAsia="en-US" w:bidi="ar-SA"/>
      </w:rPr>
    </w:lvl>
    <w:lvl w:ilvl="7">
      <w:numFmt w:val="bullet"/>
      <w:lvlText w:val="•"/>
      <w:lvlJc w:val="left"/>
      <w:pPr>
        <w:ind w:left="5800" w:hanging="524"/>
      </w:pPr>
      <w:rPr>
        <w:rFonts w:hint="default"/>
        <w:lang w:val="en-US" w:eastAsia="en-US" w:bidi="ar-SA"/>
      </w:rPr>
    </w:lvl>
    <w:lvl w:ilvl="8">
      <w:numFmt w:val="bullet"/>
      <w:lvlText w:val="•"/>
      <w:lvlJc w:val="left"/>
      <w:pPr>
        <w:ind w:left="7050" w:hanging="524"/>
      </w:pPr>
      <w:rPr>
        <w:rFonts w:hint="default"/>
        <w:lang w:val="en-US" w:eastAsia="en-US" w:bidi="ar-SA"/>
      </w:rPr>
    </w:lvl>
  </w:abstractNum>
  <w:abstractNum w:abstractNumId="4" w15:restartNumberingAfterBreak="0">
    <w:nsid w:val="70D73DB6"/>
    <w:multiLevelType w:val="hybridMultilevel"/>
    <w:tmpl w:val="3F1EC45C"/>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FE"/>
    <w:rsid w:val="00001788"/>
    <w:rsid w:val="0000553E"/>
    <w:rsid w:val="000A02DD"/>
    <w:rsid w:val="000A6B7A"/>
    <w:rsid w:val="000D323E"/>
    <w:rsid w:val="00171490"/>
    <w:rsid w:val="00183B34"/>
    <w:rsid w:val="001E2D7F"/>
    <w:rsid w:val="00220BE0"/>
    <w:rsid w:val="00277793"/>
    <w:rsid w:val="002842D2"/>
    <w:rsid w:val="002B69B2"/>
    <w:rsid w:val="002F37DF"/>
    <w:rsid w:val="003559B1"/>
    <w:rsid w:val="00384341"/>
    <w:rsid w:val="003A2EB7"/>
    <w:rsid w:val="003C0937"/>
    <w:rsid w:val="004020E8"/>
    <w:rsid w:val="0041509A"/>
    <w:rsid w:val="0045083E"/>
    <w:rsid w:val="0045644C"/>
    <w:rsid w:val="004630A7"/>
    <w:rsid w:val="004860FE"/>
    <w:rsid w:val="004A08AF"/>
    <w:rsid w:val="004A2F2F"/>
    <w:rsid w:val="004B4E4C"/>
    <w:rsid w:val="005104B6"/>
    <w:rsid w:val="005353A6"/>
    <w:rsid w:val="0054680A"/>
    <w:rsid w:val="00582D9A"/>
    <w:rsid w:val="005942CB"/>
    <w:rsid w:val="005F37F1"/>
    <w:rsid w:val="005F51C0"/>
    <w:rsid w:val="00606647"/>
    <w:rsid w:val="00614058"/>
    <w:rsid w:val="00624E36"/>
    <w:rsid w:val="00651E38"/>
    <w:rsid w:val="00690B2F"/>
    <w:rsid w:val="00695523"/>
    <w:rsid w:val="006963AC"/>
    <w:rsid w:val="006D2DFE"/>
    <w:rsid w:val="006D58B3"/>
    <w:rsid w:val="006E2ABA"/>
    <w:rsid w:val="006E5190"/>
    <w:rsid w:val="006F42F1"/>
    <w:rsid w:val="00710D5F"/>
    <w:rsid w:val="007C54FE"/>
    <w:rsid w:val="007F5D3C"/>
    <w:rsid w:val="0081312F"/>
    <w:rsid w:val="008366E5"/>
    <w:rsid w:val="00891CF2"/>
    <w:rsid w:val="008F1F7E"/>
    <w:rsid w:val="00900F5E"/>
    <w:rsid w:val="00917F70"/>
    <w:rsid w:val="0092600F"/>
    <w:rsid w:val="00944A3B"/>
    <w:rsid w:val="00970057"/>
    <w:rsid w:val="009B1188"/>
    <w:rsid w:val="009D5033"/>
    <w:rsid w:val="009F002A"/>
    <w:rsid w:val="00AB54E9"/>
    <w:rsid w:val="00AC70FD"/>
    <w:rsid w:val="00AE0EEA"/>
    <w:rsid w:val="00AE4582"/>
    <w:rsid w:val="00B03EE4"/>
    <w:rsid w:val="00B41470"/>
    <w:rsid w:val="00B56D74"/>
    <w:rsid w:val="00B853A5"/>
    <w:rsid w:val="00BF50A9"/>
    <w:rsid w:val="00C27F74"/>
    <w:rsid w:val="00CC4E30"/>
    <w:rsid w:val="00CD1747"/>
    <w:rsid w:val="00D15590"/>
    <w:rsid w:val="00D26682"/>
    <w:rsid w:val="00DB45A3"/>
    <w:rsid w:val="00DC15B4"/>
    <w:rsid w:val="00DE3B4E"/>
    <w:rsid w:val="00E14F73"/>
    <w:rsid w:val="00E15D05"/>
    <w:rsid w:val="00E34B4E"/>
    <w:rsid w:val="00EB125E"/>
    <w:rsid w:val="00EE0D97"/>
    <w:rsid w:val="00F03057"/>
    <w:rsid w:val="00F15A27"/>
    <w:rsid w:val="00F64E34"/>
    <w:rsid w:val="00FE5593"/>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7153D-A0C1-41F3-9257-79C4C475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57"/>
    <w:rPr>
      <w:rFonts w:ascii="Tahoma" w:eastAsia="Tahoma" w:hAnsi="Tahoma" w:cs="Tahoma"/>
    </w:rPr>
  </w:style>
  <w:style w:type="paragraph" w:styleId="Heading1">
    <w:name w:val="heading 1"/>
    <w:basedOn w:val="Normal"/>
    <w:uiPriority w:val="9"/>
    <w:qFormat/>
    <w:rsid w:val="00970057"/>
    <w:pPr>
      <w:ind w:left="190" w:right="244"/>
      <w:jc w:val="center"/>
      <w:outlineLvl w:val="0"/>
    </w:pPr>
    <w:rPr>
      <w:b/>
      <w:bCs/>
      <w:sz w:val="36"/>
      <w:szCs w:val="36"/>
    </w:rPr>
  </w:style>
  <w:style w:type="paragraph" w:styleId="Heading2">
    <w:name w:val="heading 2"/>
    <w:basedOn w:val="Normal"/>
    <w:uiPriority w:val="9"/>
    <w:unhideWhenUsed/>
    <w:qFormat/>
    <w:rsid w:val="00970057"/>
    <w:pPr>
      <w:ind w:left="121"/>
      <w:outlineLvl w:val="1"/>
    </w:pPr>
    <w:rPr>
      <w:i/>
    </w:rPr>
  </w:style>
  <w:style w:type="paragraph" w:styleId="Heading3">
    <w:name w:val="heading 3"/>
    <w:basedOn w:val="Normal"/>
    <w:uiPriority w:val="9"/>
    <w:unhideWhenUsed/>
    <w:qFormat/>
    <w:rsid w:val="00970057"/>
    <w:pPr>
      <w:spacing w:before="196"/>
      <w:ind w:left="596" w:hanging="69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0057"/>
    <w:rPr>
      <w:sz w:val="20"/>
      <w:szCs w:val="20"/>
    </w:rPr>
  </w:style>
  <w:style w:type="paragraph" w:styleId="ListParagraph">
    <w:name w:val="List Paragraph"/>
    <w:basedOn w:val="Normal"/>
    <w:uiPriority w:val="1"/>
    <w:qFormat/>
    <w:rsid w:val="00970057"/>
    <w:pPr>
      <w:spacing w:before="196"/>
      <w:ind w:left="596" w:hanging="697"/>
    </w:pPr>
  </w:style>
  <w:style w:type="paragraph" w:customStyle="1" w:styleId="TableParagraph">
    <w:name w:val="Table Paragraph"/>
    <w:basedOn w:val="Normal"/>
    <w:uiPriority w:val="1"/>
    <w:qFormat/>
    <w:rsid w:val="00970057"/>
  </w:style>
  <w:style w:type="paragraph" w:styleId="BalloonText">
    <w:name w:val="Balloon Text"/>
    <w:basedOn w:val="Normal"/>
    <w:link w:val="BalloonTextChar"/>
    <w:uiPriority w:val="99"/>
    <w:semiHidden/>
    <w:unhideWhenUsed/>
    <w:rsid w:val="004A08AF"/>
    <w:rPr>
      <w:sz w:val="16"/>
      <w:szCs w:val="16"/>
    </w:rPr>
  </w:style>
  <w:style w:type="character" w:customStyle="1" w:styleId="BalloonTextChar">
    <w:name w:val="Balloon Text Char"/>
    <w:basedOn w:val="DefaultParagraphFont"/>
    <w:link w:val="BalloonText"/>
    <w:uiPriority w:val="99"/>
    <w:semiHidden/>
    <w:rsid w:val="004A08AF"/>
    <w:rPr>
      <w:rFonts w:ascii="Tahoma" w:eastAsia="Tahoma" w:hAnsi="Tahoma" w:cs="Tahoma"/>
      <w:sz w:val="16"/>
      <w:szCs w:val="16"/>
    </w:rPr>
  </w:style>
  <w:style w:type="character" w:customStyle="1" w:styleId="WW8Num1z0">
    <w:name w:val="WW8Num1z0"/>
    <w:rsid w:val="00BF50A9"/>
  </w:style>
  <w:style w:type="table" w:styleId="TableGrid">
    <w:name w:val="Table Grid"/>
    <w:basedOn w:val="TableNormal"/>
    <w:uiPriority w:val="39"/>
    <w:rsid w:val="00CC4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4680A"/>
    <w:pPr>
      <w:tabs>
        <w:tab w:val="center" w:pos="4513"/>
        <w:tab w:val="right" w:pos="9026"/>
      </w:tabs>
    </w:pPr>
  </w:style>
  <w:style w:type="character" w:customStyle="1" w:styleId="HeaderChar">
    <w:name w:val="Header Char"/>
    <w:basedOn w:val="DefaultParagraphFont"/>
    <w:link w:val="Header"/>
    <w:uiPriority w:val="99"/>
    <w:semiHidden/>
    <w:rsid w:val="0054680A"/>
    <w:rPr>
      <w:rFonts w:ascii="Tahoma" w:eastAsia="Tahoma" w:hAnsi="Tahoma" w:cs="Tahoma"/>
    </w:rPr>
  </w:style>
  <w:style w:type="paragraph" w:styleId="Footer">
    <w:name w:val="footer"/>
    <w:basedOn w:val="Normal"/>
    <w:link w:val="FooterChar"/>
    <w:uiPriority w:val="99"/>
    <w:semiHidden/>
    <w:unhideWhenUsed/>
    <w:rsid w:val="0054680A"/>
    <w:pPr>
      <w:tabs>
        <w:tab w:val="center" w:pos="4513"/>
        <w:tab w:val="right" w:pos="9026"/>
      </w:tabs>
    </w:pPr>
  </w:style>
  <w:style w:type="character" w:customStyle="1" w:styleId="FooterChar">
    <w:name w:val="Footer Char"/>
    <w:basedOn w:val="DefaultParagraphFont"/>
    <w:link w:val="Footer"/>
    <w:uiPriority w:val="99"/>
    <w:semiHidden/>
    <w:rsid w:val="0054680A"/>
    <w:rPr>
      <w:rFonts w:ascii="Tahoma" w:eastAsia="Tahoma" w:hAnsi="Tahoma" w:cs="Tahoma"/>
    </w:rPr>
  </w:style>
  <w:style w:type="character" w:styleId="Hyperlink">
    <w:name w:val="Hyperlink"/>
    <w:basedOn w:val="DefaultParagraphFont"/>
    <w:rsid w:val="001E2D7F"/>
    <w:rPr>
      <w:color w:val="0000FF"/>
      <w:u w:val="single"/>
    </w:rPr>
  </w:style>
  <w:style w:type="paragraph" w:styleId="NormalWeb">
    <w:name w:val="Normal (Web)"/>
    <w:basedOn w:val="Normal"/>
    <w:rsid w:val="001E2D7F"/>
    <w:pPr>
      <w:widowControl/>
      <w:autoSpaceDE/>
      <w:autoSpaceDN/>
      <w:spacing w:before="100" w:beforeAutospacing="1" w:after="88"/>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ANTHIL 1</dc:creator>
  <cp:lastModifiedBy>user</cp:lastModifiedBy>
  <cp:revision>2</cp:revision>
  <dcterms:created xsi:type="dcterms:W3CDTF">2021-03-10T11:12:00Z</dcterms:created>
  <dcterms:modified xsi:type="dcterms:W3CDTF">2021-03-10T11:12:00Z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for Microsoft 365</vt:lpwstr>
  </property>
  <property fmtid="{D5CDD505-2E9C-101B-9397-08002B2CF9AE}" pid="4" name="LastSaved">
    <vt:filetime>2020-08-19T00:00:00Z</vt:filetime>
  </property>
</Properties>
</file>