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78F26" w14:textId="77777777" w:rsidR="00BE1637" w:rsidRPr="00CA0921" w:rsidRDefault="00650538" w:rsidP="00CA0921">
      <w:pPr>
        <w:pStyle w:val="Header"/>
        <w:spacing w:line="360" w:lineRule="auto"/>
        <w:rPr>
          <w:b/>
          <w:bCs/>
          <w:sz w:val="24"/>
          <w:szCs w:val="24"/>
        </w:rPr>
      </w:pPr>
      <w:r w:rsidRPr="00CA0921">
        <w:rPr>
          <w:b/>
          <w:sz w:val="24"/>
          <w:szCs w:val="24"/>
        </w:rPr>
        <w:t>1</w:t>
      </w:r>
      <w:r w:rsidR="00EE01EA" w:rsidRPr="00CA0921">
        <w:rPr>
          <w:b/>
          <w:sz w:val="24"/>
          <w:szCs w:val="24"/>
        </w:rPr>
        <w:t>.</w:t>
      </w:r>
      <w:r w:rsidRPr="00CA0921">
        <w:rPr>
          <w:b/>
          <w:sz w:val="24"/>
          <w:szCs w:val="24"/>
        </w:rPr>
        <w:t xml:space="preserve"> </w:t>
      </w:r>
      <w:r w:rsidR="00BE1637" w:rsidRPr="00CA0921">
        <w:rPr>
          <w:b/>
          <w:bCs/>
          <w:sz w:val="24"/>
          <w:szCs w:val="24"/>
        </w:rPr>
        <w:t>Name of the medicinal product</w:t>
      </w:r>
    </w:p>
    <w:p w14:paraId="625B8F20" w14:textId="77777777" w:rsidR="00054F62" w:rsidRPr="00CA0921" w:rsidRDefault="00054F62" w:rsidP="00CA0921">
      <w:pPr>
        <w:pStyle w:val="Header"/>
        <w:spacing w:line="360" w:lineRule="auto"/>
        <w:rPr>
          <w:b/>
          <w:bCs/>
          <w:sz w:val="24"/>
          <w:szCs w:val="24"/>
        </w:rPr>
      </w:pPr>
      <w:r w:rsidRPr="00CA0921">
        <w:rPr>
          <w:b/>
          <w:sz w:val="24"/>
          <w:szCs w:val="24"/>
        </w:rPr>
        <w:t>1.</w:t>
      </w:r>
      <w:r w:rsidRPr="00CA0921">
        <w:rPr>
          <w:b/>
          <w:bCs/>
          <w:sz w:val="24"/>
          <w:szCs w:val="24"/>
        </w:rPr>
        <w:t>1. Name of the medicinal product:</w:t>
      </w:r>
    </w:p>
    <w:p w14:paraId="6D8EB529" w14:textId="77777777" w:rsidR="00EE591C" w:rsidRDefault="00054F62" w:rsidP="00CA0921">
      <w:pPr>
        <w:pStyle w:val="Header"/>
        <w:tabs>
          <w:tab w:val="left" w:pos="8280"/>
        </w:tabs>
        <w:spacing w:line="360" w:lineRule="auto"/>
        <w:rPr>
          <w:b/>
          <w:sz w:val="24"/>
          <w:szCs w:val="24"/>
        </w:rPr>
      </w:pPr>
      <w:r w:rsidRPr="00CA0921">
        <w:rPr>
          <w:b/>
          <w:sz w:val="24"/>
          <w:szCs w:val="24"/>
        </w:rPr>
        <w:t>Generic Name/INN Name:</w:t>
      </w:r>
    </w:p>
    <w:p w14:paraId="16C8CD60" w14:textId="77777777" w:rsidR="00054F62" w:rsidRPr="00CA0921" w:rsidRDefault="00054F62" w:rsidP="00CA0921">
      <w:pPr>
        <w:pStyle w:val="Header"/>
        <w:tabs>
          <w:tab w:val="left" w:pos="8280"/>
        </w:tabs>
        <w:spacing w:line="360" w:lineRule="auto"/>
        <w:rPr>
          <w:sz w:val="24"/>
          <w:szCs w:val="24"/>
        </w:rPr>
      </w:pPr>
      <w:r w:rsidRPr="00CA0921">
        <w:rPr>
          <w:sz w:val="24"/>
          <w:szCs w:val="24"/>
        </w:rPr>
        <w:t xml:space="preserve"> </w:t>
      </w:r>
      <w:r w:rsidR="00EE591C" w:rsidRPr="00EE591C">
        <w:rPr>
          <w:sz w:val="24"/>
          <w:szCs w:val="24"/>
        </w:rPr>
        <w:t xml:space="preserve">Omeprazole Delayed Release Capsules USP 20 MG                                                                                                                                  </w:t>
      </w:r>
    </w:p>
    <w:p w14:paraId="0E570B75" w14:textId="541242F2" w:rsidR="00054F62" w:rsidRPr="00034B10" w:rsidRDefault="00054F62" w:rsidP="00CA0921">
      <w:pPr>
        <w:pStyle w:val="Default"/>
        <w:spacing w:line="360" w:lineRule="auto"/>
        <w:rPr>
          <w:b/>
        </w:rPr>
      </w:pPr>
      <w:r w:rsidRPr="00CA0921">
        <w:rPr>
          <w:b/>
        </w:rPr>
        <w:t>Trade Name:</w:t>
      </w:r>
      <w:r w:rsidR="00034B10" w:rsidRPr="00034B10">
        <w:rPr>
          <w:bCs/>
        </w:rPr>
        <w:t xml:space="preserve"> Generic</w:t>
      </w:r>
      <w:bookmarkStart w:id="0" w:name="_GoBack"/>
      <w:bookmarkEnd w:id="0"/>
    </w:p>
    <w:p w14:paraId="3C5F4911" w14:textId="77777777" w:rsidR="00EE591C" w:rsidRDefault="00054F62" w:rsidP="00CA0921">
      <w:pPr>
        <w:pStyle w:val="Default"/>
        <w:spacing w:line="360" w:lineRule="auto"/>
        <w:rPr>
          <w:bCs/>
        </w:rPr>
      </w:pPr>
      <w:r w:rsidRPr="00CA0921">
        <w:rPr>
          <w:b/>
          <w:bCs/>
        </w:rPr>
        <w:t>1.2 Strength</w:t>
      </w:r>
      <w:r w:rsidR="00EE591C" w:rsidRPr="00CA0921">
        <w:rPr>
          <w:b/>
          <w:bCs/>
        </w:rPr>
        <w:t>:</w:t>
      </w:r>
      <w:r w:rsidR="00EE591C" w:rsidRPr="00EE591C">
        <w:rPr>
          <w:bCs/>
        </w:rPr>
        <w:t xml:space="preserve"> </w:t>
      </w:r>
    </w:p>
    <w:p w14:paraId="2E82E88B" w14:textId="77777777" w:rsidR="00417A56" w:rsidRPr="00CA0921" w:rsidRDefault="00EE591C" w:rsidP="00CA0921">
      <w:pPr>
        <w:pStyle w:val="Default"/>
        <w:spacing w:line="360" w:lineRule="auto"/>
        <w:rPr>
          <w:bCs/>
        </w:rPr>
      </w:pPr>
      <w:r>
        <w:rPr>
          <w:rFonts w:eastAsiaTheme="minorHAnsi"/>
          <w:lang w:val="en-IN"/>
        </w:rPr>
        <w:t>Omeprazole…….. 20 mg (Enteric coated granules)</w:t>
      </w:r>
    </w:p>
    <w:p w14:paraId="6F1FEE64" w14:textId="77777777" w:rsidR="00054F62" w:rsidRDefault="00054F62" w:rsidP="00CA0921">
      <w:pPr>
        <w:pStyle w:val="Default"/>
        <w:spacing w:line="360" w:lineRule="auto"/>
        <w:rPr>
          <w:b/>
          <w:bCs/>
        </w:rPr>
      </w:pPr>
      <w:r w:rsidRPr="00CA0921">
        <w:rPr>
          <w:b/>
          <w:bCs/>
        </w:rPr>
        <w:t>1.3 Pharmaceutical form:</w:t>
      </w:r>
    </w:p>
    <w:p w14:paraId="370960A0" w14:textId="77777777" w:rsidR="00C36CDD" w:rsidRDefault="00C36CDD" w:rsidP="00C36CDD">
      <w:pPr>
        <w:autoSpaceDE w:val="0"/>
        <w:autoSpaceDN w:val="0"/>
        <w:adjustRightInd w:val="0"/>
        <w:rPr>
          <w:rFonts w:eastAsiaTheme="minorHAnsi"/>
          <w:sz w:val="24"/>
          <w:szCs w:val="24"/>
          <w:lang w:val="en-IN"/>
        </w:rPr>
      </w:pPr>
      <w:r>
        <w:rPr>
          <w:rFonts w:eastAsiaTheme="minorHAnsi"/>
          <w:color w:val="000000"/>
          <w:sz w:val="24"/>
          <w:szCs w:val="24"/>
          <w:lang w:val="en-IN"/>
        </w:rPr>
        <w:t xml:space="preserve">Solid Oral Dosage form (capsule) </w:t>
      </w:r>
    </w:p>
    <w:p w14:paraId="7DCC9BFC" w14:textId="77777777" w:rsidR="00C36CDD" w:rsidRPr="00C36CDD" w:rsidRDefault="00C36CDD" w:rsidP="00C36CDD">
      <w:pPr>
        <w:autoSpaceDE w:val="0"/>
        <w:autoSpaceDN w:val="0"/>
        <w:adjustRightInd w:val="0"/>
        <w:rPr>
          <w:rFonts w:eastAsiaTheme="minorHAnsi"/>
          <w:sz w:val="24"/>
          <w:szCs w:val="24"/>
          <w:lang w:val="en-IN"/>
        </w:rPr>
      </w:pPr>
      <w:r>
        <w:rPr>
          <w:rFonts w:eastAsiaTheme="minorHAnsi"/>
          <w:b/>
          <w:bCs/>
          <w:color w:val="000000"/>
          <w:sz w:val="24"/>
          <w:szCs w:val="24"/>
          <w:lang w:val="en-IN"/>
        </w:rPr>
        <w:t xml:space="preserve"> </w:t>
      </w:r>
    </w:p>
    <w:p w14:paraId="2D8905CA" w14:textId="77777777" w:rsidR="00E61612" w:rsidRPr="00CA0921" w:rsidRDefault="00650538" w:rsidP="00CA0921">
      <w:pPr>
        <w:pStyle w:val="Default"/>
        <w:spacing w:line="360" w:lineRule="auto"/>
        <w:rPr>
          <w:b/>
          <w:bCs/>
        </w:rPr>
      </w:pPr>
      <w:r w:rsidRPr="00CA0921">
        <w:rPr>
          <w:b/>
        </w:rPr>
        <w:t>2</w:t>
      </w:r>
      <w:r w:rsidRPr="00CA0921">
        <w:rPr>
          <w:b/>
          <w:bCs/>
        </w:rPr>
        <w:t>. Qualitative and Quantitative composition:</w:t>
      </w:r>
    </w:p>
    <w:tbl>
      <w:tblPr>
        <w:tblpPr w:leftFromText="180" w:rightFromText="180" w:vertAnchor="text" w:horzAnchor="margin" w:tblpXSpec="center"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
        <w:gridCol w:w="2526"/>
        <w:gridCol w:w="1536"/>
        <w:gridCol w:w="1075"/>
        <w:gridCol w:w="2134"/>
        <w:gridCol w:w="1270"/>
      </w:tblGrid>
      <w:tr w:rsidR="00C36CDD" w:rsidRPr="001D78E0" w14:paraId="34E093C7" w14:textId="77777777" w:rsidTr="00A01DE1">
        <w:trPr>
          <w:trHeight w:val="132"/>
        </w:trPr>
        <w:tc>
          <w:tcPr>
            <w:tcW w:w="0" w:type="auto"/>
            <w:vAlign w:val="center"/>
          </w:tcPr>
          <w:p w14:paraId="7CAFD7F1" w14:textId="77777777" w:rsidR="00C36CDD" w:rsidRPr="001D78E0" w:rsidRDefault="00C36CDD" w:rsidP="00A01DE1">
            <w:pPr>
              <w:jc w:val="center"/>
              <w:rPr>
                <w:b/>
                <w:sz w:val="24"/>
                <w:szCs w:val="24"/>
              </w:rPr>
            </w:pPr>
            <w:r w:rsidRPr="001D78E0">
              <w:rPr>
                <w:b/>
                <w:sz w:val="24"/>
                <w:szCs w:val="24"/>
              </w:rPr>
              <w:t>Sr. No.</w:t>
            </w:r>
          </w:p>
        </w:tc>
        <w:tc>
          <w:tcPr>
            <w:tcW w:w="0" w:type="auto"/>
            <w:vAlign w:val="center"/>
          </w:tcPr>
          <w:p w14:paraId="00FC3649" w14:textId="77777777" w:rsidR="00C36CDD" w:rsidRPr="001D78E0" w:rsidRDefault="00C36CDD" w:rsidP="00A01DE1">
            <w:pPr>
              <w:rPr>
                <w:b/>
                <w:sz w:val="24"/>
                <w:szCs w:val="24"/>
              </w:rPr>
            </w:pPr>
            <w:r w:rsidRPr="001D78E0">
              <w:rPr>
                <w:b/>
                <w:sz w:val="24"/>
                <w:szCs w:val="24"/>
              </w:rPr>
              <w:t>Ingredients</w:t>
            </w:r>
          </w:p>
        </w:tc>
        <w:tc>
          <w:tcPr>
            <w:tcW w:w="0" w:type="auto"/>
            <w:vAlign w:val="center"/>
          </w:tcPr>
          <w:p w14:paraId="66BB3A33" w14:textId="77777777" w:rsidR="00C36CDD" w:rsidRPr="001D78E0" w:rsidRDefault="00C36CDD" w:rsidP="00A01DE1">
            <w:pPr>
              <w:rPr>
                <w:b/>
                <w:sz w:val="24"/>
                <w:szCs w:val="24"/>
              </w:rPr>
            </w:pPr>
            <w:r w:rsidRPr="001D78E0">
              <w:rPr>
                <w:b/>
                <w:sz w:val="24"/>
                <w:szCs w:val="24"/>
              </w:rPr>
              <w:t>Specification</w:t>
            </w:r>
          </w:p>
        </w:tc>
        <w:tc>
          <w:tcPr>
            <w:tcW w:w="0" w:type="auto"/>
            <w:vAlign w:val="center"/>
          </w:tcPr>
          <w:p w14:paraId="37B4B2C3" w14:textId="77777777" w:rsidR="00C36CDD" w:rsidRPr="001D78E0" w:rsidRDefault="00C36CDD" w:rsidP="00A01DE1">
            <w:pPr>
              <w:jc w:val="center"/>
              <w:rPr>
                <w:b/>
                <w:sz w:val="24"/>
                <w:szCs w:val="24"/>
              </w:rPr>
            </w:pPr>
            <w:r w:rsidRPr="001D78E0">
              <w:rPr>
                <w:b/>
                <w:sz w:val="24"/>
                <w:szCs w:val="24"/>
              </w:rPr>
              <w:t>Label claim</w:t>
            </w:r>
          </w:p>
        </w:tc>
        <w:tc>
          <w:tcPr>
            <w:tcW w:w="0" w:type="auto"/>
            <w:vAlign w:val="center"/>
          </w:tcPr>
          <w:p w14:paraId="2A3AA7ED" w14:textId="77777777" w:rsidR="00C36CDD" w:rsidRPr="001D78E0" w:rsidRDefault="00C36CDD" w:rsidP="00A01DE1">
            <w:pPr>
              <w:jc w:val="center"/>
              <w:rPr>
                <w:b/>
                <w:sz w:val="24"/>
                <w:szCs w:val="24"/>
              </w:rPr>
            </w:pPr>
            <w:r w:rsidRPr="004F2096">
              <w:rPr>
                <w:b/>
                <w:sz w:val="24"/>
                <w:szCs w:val="24"/>
              </w:rPr>
              <w:t xml:space="preserve">Qty. of </w:t>
            </w:r>
            <w:r>
              <w:rPr>
                <w:b/>
                <w:sz w:val="24"/>
                <w:szCs w:val="24"/>
              </w:rPr>
              <w:t>pellets</w:t>
            </w:r>
            <w:r w:rsidRPr="004F2096">
              <w:rPr>
                <w:b/>
                <w:sz w:val="24"/>
                <w:szCs w:val="24"/>
              </w:rPr>
              <w:t xml:space="preserve"> / Cap                   (in mg)</w:t>
            </w:r>
          </w:p>
        </w:tc>
        <w:tc>
          <w:tcPr>
            <w:tcW w:w="0" w:type="auto"/>
            <w:vAlign w:val="center"/>
          </w:tcPr>
          <w:p w14:paraId="2748F4B5" w14:textId="77777777" w:rsidR="00C36CDD" w:rsidRPr="001D78E0" w:rsidRDefault="00C36CDD" w:rsidP="00A01DE1">
            <w:pPr>
              <w:tabs>
                <w:tab w:val="center" w:pos="4320"/>
                <w:tab w:val="right" w:pos="8640"/>
              </w:tabs>
              <w:rPr>
                <w:b/>
                <w:sz w:val="24"/>
                <w:szCs w:val="24"/>
              </w:rPr>
            </w:pPr>
            <w:r w:rsidRPr="001D78E0">
              <w:rPr>
                <w:b/>
                <w:sz w:val="24"/>
                <w:szCs w:val="24"/>
              </w:rPr>
              <w:t>Function</w:t>
            </w:r>
          </w:p>
        </w:tc>
      </w:tr>
      <w:tr w:rsidR="00C36CDD" w:rsidRPr="001D78E0" w14:paraId="3BF98619" w14:textId="77777777" w:rsidTr="00A01DE1">
        <w:trPr>
          <w:cantSplit/>
          <w:trHeight w:val="71"/>
        </w:trPr>
        <w:tc>
          <w:tcPr>
            <w:tcW w:w="0" w:type="auto"/>
            <w:tcBorders>
              <w:bottom w:val="single" w:sz="4" w:space="0" w:color="auto"/>
            </w:tcBorders>
            <w:vAlign w:val="center"/>
          </w:tcPr>
          <w:p w14:paraId="269212D6" w14:textId="77777777" w:rsidR="00C36CDD" w:rsidRPr="001D78E0" w:rsidRDefault="00C36CDD" w:rsidP="00A01DE1">
            <w:pPr>
              <w:tabs>
                <w:tab w:val="center" w:pos="4320"/>
                <w:tab w:val="right" w:pos="8640"/>
              </w:tabs>
              <w:jc w:val="center"/>
              <w:rPr>
                <w:sz w:val="24"/>
                <w:szCs w:val="24"/>
              </w:rPr>
            </w:pPr>
            <w:r w:rsidRPr="001D78E0">
              <w:rPr>
                <w:sz w:val="24"/>
                <w:szCs w:val="24"/>
              </w:rPr>
              <w:t>1.</w:t>
            </w:r>
          </w:p>
        </w:tc>
        <w:tc>
          <w:tcPr>
            <w:tcW w:w="0" w:type="auto"/>
            <w:tcBorders>
              <w:bottom w:val="single" w:sz="4" w:space="0" w:color="auto"/>
            </w:tcBorders>
            <w:vAlign w:val="center"/>
          </w:tcPr>
          <w:p w14:paraId="4CE9518A" w14:textId="77777777" w:rsidR="00C36CDD" w:rsidRPr="001D78E0" w:rsidRDefault="00C36CDD" w:rsidP="00A01DE1">
            <w:pPr>
              <w:pStyle w:val="PlainText"/>
              <w:rPr>
                <w:rFonts w:ascii="Times New Roman" w:hAnsi="Times New Roman"/>
                <w:sz w:val="24"/>
                <w:szCs w:val="24"/>
              </w:rPr>
            </w:pPr>
            <w:r w:rsidRPr="001D78E0">
              <w:rPr>
                <w:rFonts w:ascii="Times New Roman" w:hAnsi="Times New Roman"/>
                <w:sz w:val="24"/>
                <w:szCs w:val="24"/>
              </w:rPr>
              <w:t xml:space="preserve">Omeprazole pellets 7.5 % w/w  </w:t>
            </w:r>
          </w:p>
        </w:tc>
        <w:tc>
          <w:tcPr>
            <w:tcW w:w="0" w:type="auto"/>
            <w:tcBorders>
              <w:bottom w:val="single" w:sz="4" w:space="0" w:color="auto"/>
            </w:tcBorders>
            <w:vAlign w:val="center"/>
          </w:tcPr>
          <w:p w14:paraId="2DEA0502" w14:textId="77777777" w:rsidR="00C36CDD" w:rsidRPr="001D78E0" w:rsidRDefault="00C36CDD" w:rsidP="00A01DE1">
            <w:pPr>
              <w:rPr>
                <w:sz w:val="24"/>
                <w:szCs w:val="24"/>
              </w:rPr>
            </w:pPr>
            <w:r w:rsidRPr="001D78E0">
              <w:rPr>
                <w:sz w:val="24"/>
                <w:szCs w:val="24"/>
              </w:rPr>
              <w:t>IH</w:t>
            </w:r>
          </w:p>
        </w:tc>
        <w:tc>
          <w:tcPr>
            <w:tcW w:w="0" w:type="auto"/>
            <w:tcBorders>
              <w:bottom w:val="single" w:sz="4" w:space="0" w:color="auto"/>
            </w:tcBorders>
            <w:vAlign w:val="center"/>
          </w:tcPr>
          <w:p w14:paraId="05CEEA75" w14:textId="77777777" w:rsidR="00C36CDD" w:rsidRPr="001D78E0" w:rsidRDefault="00C36CDD" w:rsidP="00A01DE1">
            <w:pPr>
              <w:jc w:val="center"/>
              <w:rPr>
                <w:sz w:val="24"/>
                <w:szCs w:val="24"/>
              </w:rPr>
            </w:pPr>
            <w:r w:rsidRPr="001D78E0">
              <w:rPr>
                <w:sz w:val="24"/>
                <w:szCs w:val="24"/>
              </w:rPr>
              <w:t>20.000 mg</w:t>
            </w:r>
          </w:p>
        </w:tc>
        <w:tc>
          <w:tcPr>
            <w:tcW w:w="0" w:type="auto"/>
            <w:tcBorders>
              <w:bottom w:val="single" w:sz="4" w:space="0" w:color="auto"/>
            </w:tcBorders>
            <w:vAlign w:val="center"/>
          </w:tcPr>
          <w:p w14:paraId="6E053DFA" w14:textId="77777777" w:rsidR="00C36CDD" w:rsidRPr="001D78E0" w:rsidRDefault="00C36CDD" w:rsidP="00A01DE1">
            <w:pPr>
              <w:jc w:val="center"/>
              <w:rPr>
                <w:sz w:val="24"/>
                <w:szCs w:val="24"/>
              </w:rPr>
            </w:pPr>
            <w:r>
              <w:rPr>
                <w:sz w:val="24"/>
                <w:szCs w:val="24"/>
              </w:rPr>
              <w:t>267.76</w:t>
            </w:r>
          </w:p>
        </w:tc>
        <w:tc>
          <w:tcPr>
            <w:tcW w:w="0" w:type="auto"/>
            <w:tcBorders>
              <w:bottom w:val="single" w:sz="4" w:space="0" w:color="auto"/>
            </w:tcBorders>
            <w:vAlign w:val="center"/>
          </w:tcPr>
          <w:p w14:paraId="5A2797DB" w14:textId="77777777" w:rsidR="00C36CDD" w:rsidRPr="001D78E0" w:rsidRDefault="00C36CDD" w:rsidP="00A01DE1">
            <w:pPr>
              <w:tabs>
                <w:tab w:val="center" w:pos="4320"/>
                <w:tab w:val="right" w:pos="8640"/>
              </w:tabs>
              <w:rPr>
                <w:sz w:val="24"/>
                <w:szCs w:val="24"/>
              </w:rPr>
            </w:pPr>
            <w:r w:rsidRPr="001D78E0">
              <w:rPr>
                <w:sz w:val="24"/>
                <w:szCs w:val="24"/>
              </w:rPr>
              <w:t>Active</w:t>
            </w:r>
          </w:p>
        </w:tc>
      </w:tr>
      <w:tr w:rsidR="00C36CDD" w:rsidRPr="001D78E0" w14:paraId="180D7055" w14:textId="77777777" w:rsidTr="00A01DE1">
        <w:trPr>
          <w:cantSplit/>
          <w:trHeight w:val="71"/>
        </w:trPr>
        <w:tc>
          <w:tcPr>
            <w:tcW w:w="0" w:type="auto"/>
            <w:tcBorders>
              <w:bottom w:val="single" w:sz="4" w:space="0" w:color="auto"/>
            </w:tcBorders>
            <w:vAlign w:val="center"/>
          </w:tcPr>
          <w:p w14:paraId="6E9A493E" w14:textId="77777777" w:rsidR="00C36CDD" w:rsidRPr="001D78E0" w:rsidRDefault="00C36CDD" w:rsidP="00A01DE1">
            <w:pPr>
              <w:tabs>
                <w:tab w:val="center" w:pos="4320"/>
                <w:tab w:val="right" w:pos="8640"/>
              </w:tabs>
              <w:jc w:val="center"/>
              <w:rPr>
                <w:sz w:val="24"/>
                <w:szCs w:val="24"/>
              </w:rPr>
            </w:pPr>
            <w:r w:rsidRPr="001D78E0">
              <w:rPr>
                <w:sz w:val="24"/>
                <w:szCs w:val="24"/>
              </w:rPr>
              <w:t>2.</w:t>
            </w:r>
          </w:p>
        </w:tc>
        <w:tc>
          <w:tcPr>
            <w:tcW w:w="0" w:type="auto"/>
            <w:tcBorders>
              <w:bottom w:val="single" w:sz="4" w:space="0" w:color="auto"/>
            </w:tcBorders>
            <w:vAlign w:val="center"/>
          </w:tcPr>
          <w:p w14:paraId="2FF8B966" w14:textId="77777777" w:rsidR="00C36CDD" w:rsidRPr="001D78E0" w:rsidRDefault="00C36CDD" w:rsidP="00A01DE1">
            <w:pPr>
              <w:rPr>
                <w:sz w:val="24"/>
                <w:szCs w:val="24"/>
              </w:rPr>
            </w:pPr>
            <w:r w:rsidRPr="001D78E0">
              <w:rPr>
                <w:sz w:val="24"/>
                <w:szCs w:val="24"/>
              </w:rPr>
              <w:t xml:space="preserve">Empty Hard Gelatin Capsule Shells Size “2” </w:t>
            </w:r>
          </w:p>
          <w:p w14:paraId="73ED4ADA" w14:textId="77777777" w:rsidR="00C36CDD" w:rsidRPr="001D78E0" w:rsidRDefault="00C36CDD" w:rsidP="00A01DE1">
            <w:pPr>
              <w:rPr>
                <w:sz w:val="24"/>
                <w:szCs w:val="24"/>
              </w:rPr>
            </w:pPr>
            <w:r w:rsidRPr="001D78E0">
              <w:rPr>
                <w:sz w:val="24"/>
                <w:szCs w:val="24"/>
              </w:rPr>
              <w:t>Colour: Light pink/ Peach</w:t>
            </w:r>
          </w:p>
        </w:tc>
        <w:tc>
          <w:tcPr>
            <w:tcW w:w="0" w:type="auto"/>
            <w:tcBorders>
              <w:bottom w:val="single" w:sz="4" w:space="0" w:color="auto"/>
            </w:tcBorders>
            <w:vAlign w:val="center"/>
          </w:tcPr>
          <w:p w14:paraId="715D945D" w14:textId="77777777" w:rsidR="00C36CDD" w:rsidRPr="001D78E0" w:rsidRDefault="00C36CDD" w:rsidP="00A01DE1">
            <w:pPr>
              <w:rPr>
                <w:sz w:val="24"/>
                <w:szCs w:val="24"/>
              </w:rPr>
            </w:pPr>
            <w:r w:rsidRPr="001D78E0">
              <w:rPr>
                <w:sz w:val="24"/>
                <w:szCs w:val="24"/>
              </w:rPr>
              <w:t>IH</w:t>
            </w:r>
          </w:p>
        </w:tc>
        <w:tc>
          <w:tcPr>
            <w:tcW w:w="0" w:type="auto"/>
            <w:tcBorders>
              <w:bottom w:val="single" w:sz="4" w:space="0" w:color="auto"/>
            </w:tcBorders>
            <w:vAlign w:val="center"/>
          </w:tcPr>
          <w:p w14:paraId="2E11A7B3" w14:textId="77777777" w:rsidR="00C36CDD" w:rsidRPr="001D78E0" w:rsidRDefault="00C36CDD" w:rsidP="00A01DE1">
            <w:pPr>
              <w:rPr>
                <w:sz w:val="24"/>
                <w:szCs w:val="24"/>
              </w:rPr>
            </w:pPr>
            <w:r w:rsidRPr="001D78E0">
              <w:rPr>
                <w:sz w:val="24"/>
                <w:szCs w:val="24"/>
              </w:rPr>
              <w:t>-----</w:t>
            </w:r>
          </w:p>
        </w:tc>
        <w:tc>
          <w:tcPr>
            <w:tcW w:w="0" w:type="auto"/>
            <w:tcBorders>
              <w:bottom w:val="single" w:sz="4" w:space="0" w:color="auto"/>
            </w:tcBorders>
            <w:vAlign w:val="center"/>
          </w:tcPr>
          <w:p w14:paraId="765B57DD" w14:textId="77777777" w:rsidR="00C36CDD" w:rsidRPr="001D78E0" w:rsidRDefault="00C36CDD" w:rsidP="00A01DE1">
            <w:pPr>
              <w:jc w:val="center"/>
              <w:rPr>
                <w:sz w:val="24"/>
                <w:szCs w:val="24"/>
              </w:rPr>
            </w:pPr>
            <w:r w:rsidRPr="001D78E0">
              <w:rPr>
                <w:sz w:val="24"/>
                <w:szCs w:val="24"/>
              </w:rPr>
              <w:t>01 Capsule = 63 mg</w:t>
            </w:r>
          </w:p>
        </w:tc>
        <w:tc>
          <w:tcPr>
            <w:tcW w:w="0" w:type="auto"/>
            <w:tcBorders>
              <w:bottom w:val="single" w:sz="4" w:space="0" w:color="auto"/>
            </w:tcBorders>
            <w:vAlign w:val="center"/>
          </w:tcPr>
          <w:p w14:paraId="2946B152" w14:textId="77777777" w:rsidR="00C36CDD" w:rsidRPr="001D78E0" w:rsidRDefault="00C36CDD" w:rsidP="00A01DE1">
            <w:pPr>
              <w:tabs>
                <w:tab w:val="center" w:pos="4320"/>
                <w:tab w:val="right" w:pos="8640"/>
              </w:tabs>
              <w:rPr>
                <w:sz w:val="24"/>
                <w:szCs w:val="24"/>
              </w:rPr>
            </w:pPr>
            <w:r w:rsidRPr="001D78E0">
              <w:rPr>
                <w:sz w:val="24"/>
                <w:szCs w:val="24"/>
              </w:rPr>
              <w:t>Capsule shell</w:t>
            </w:r>
          </w:p>
        </w:tc>
      </w:tr>
      <w:tr w:rsidR="00C36CDD" w:rsidRPr="001D78E0" w14:paraId="188E30B9" w14:textId="77777777" w:rsidTr="00A01DE1">
        <w:trPr>
          <w:cantSplit/>
          <w:trHeight w:val="71"/>
        </w:trPr>
        <w:tc>
          <w:tcPr>
            <w:tcW w:w="0" w:type="auto"/>
            <w:gridSpan w:val="6"/>
            <w:tcBorders>
              <w:bottom w:val="single" w:sz="4" w:space="0" w:color="auto"/>
            </w:tcBorders>
            <w:vAlign w:val="center"/>
          </w:tcPr>
          <w:p w14:paraId="569B22AD" w14:textId="77777777" w:rsidR="00C36CDD" w:rsidRPr="001D78E0" w:rsidRDefault="00C36CDD" w:rsidP="00A01DE1">
            <w:pPr>
              <w:tabs>
                <w:tab w:val="center" w:pos="4320"/>
                <w:tab w:val="right" w:pos="8640"/>
              </w:tabs>
              <w:rPr>
                <w:sz w:val="24"/>
                <w:szCs w:val="24"/>
              </w:rPr>
            </w:pPr>
            <w:r w:rsidRPr="001D78E0">
              <w:rPr>
                <w:sz w:val="24"/>
                <w:szCs w:val="24"/>
              </w:rPr>
              <w:t xml:space="preserve">Total Net content: </w:t>
            </w:r>
            <w:r>
              <w:rPr>
                <w:sz w:val="24"/>
                <w:szCs w:val="24"/>
              </w:rPr>
              <w:t>267.76</w:t>
            </w:r>
            <w:r w:rsidRPr="001D78E0">
              <w:rPr>
                <w:sz w:val="24"/>
                <w:szCs w:val="24"/>
              </w:rPr>
              <w:t xml:space="preserve"> mg/cap</w:t>
            </w:r>
          </w:p>
        </w:tc>
      </w:tr>
    </w:tbl>
    <w:p w14:paraId="21EFF5F0" w14:textId="77777777" w:rsidR="00C36CDD" w:rsidRDefault="00C36CDD" w:rsidP="002E2798">
      <w:pPr>
        <w:autoSpaceDE w:val="0"/>
        <w:autoSpaceDN w:val="0"/>
        <w:adjustRightInd w:val="0"/>
        <w:rPr>
          <w:rFonts w:eastAsiaTheme="minorHAnsi"/>
          <w:color w:val="000000"/>
          <w:sz w:val="24"/>
          <w:szCs w:val="24"/>
          <w:lang w:val="en-IN"/>
        </w:rPr>
      </w:pPr>
      <w:r>
        <w:rPr>
          <w:rFonts w:eastAsiaTheme="minorHAnsi"/>
          <w:color w:val="000000"/>
          <w:sz w:val="24"/>
          <w:szCs w:val="24"/>
          <w:lang w:val="en-IN"/>
        </w:rPr>
        <w:t xml:space="preserve">* The quantity of the Omeprazole pallets has to be calculated as per the Assay &amp; Moisture content. </w:t>
      </w:r>
    </w:p>
    <w:p w14:paraId="0DBAABAB" w14:textId="77777777" w:rsidR="002E2798" w:rsidRPr="002E2798" w:rsidRDefault="002E2798" w:rsidP="002E2798">
      <w:pPr>
        <w:autoSpaceDE w:val="0"/>
        <w:autoSpaceDN w:val="0"/>
        <w:adjustRightInd w:val="0"/>
        <w:rPr>
          <w:rFonts w:eastAsiaTheme="minorHAnsi"/>
          <w:sz w:val="24"/>
          <w:szCs w:val="24"/>
          <w:lang w:val="en-IN"/>
        </w:rPr>
      </w:pPr>
    </w:p>
    <w:p w14:paraId="4D586A6E" w14:textId="77777777" w:rsidR="00E61612" w:rsidRPr="00CA0921" w:rsidRDefault="00E61612" w:rsidP="00C938C9">
      <w:pPr>
        <w:tabs>
          <w:tab w:val="left" w:pos="6033"/>
        </w:tabs>
        <w:spacing w:line="360" w:lineRule="auto"/>
        <w:rPr>
          <w:b/>
          <w:bCs/>
          <w:sz w:val="24"/>
          <w:szCs w:val="24"/>
        </w:rPr>
      </w:pPr>
      <w:r w:rsidRPr="00CA0921">
        <w:rPr>
          <w:b/>
          <w:bCs/>
          <w:sz w:val="24"/>
          <w:szCs w:val="24"/>
        </w:rPr>
        <w:t>3. Pharmaceutical form:</w:t>
      </w:r>
    </w:p>
    <w:p w14:paraId="53F7D759" w14:textId="77777777" w:rsidR="00E61612" w:rsidRPr="00CA0921" w:rsidRDefault="00E61612" w:rsidP="00CA0921">
      <w:pPr>
        <w:spacing w:line="360" w:lineRule="auto"/>
        <w:jc w:val="both"/>
        <w:rPr>
          <w:bCs/>
          <w:color w:val="000000"/>
          <w:sz w:val="24"/>
          <w:szCs w:val="24"/>
        </w:rPr>
      </w:pPr>
      <w:r w:rsidRPr="00CA0921">
        <w:rPr>
          <w:b/>
          <w:bCs/>
          <w:color w:val="000000"/>
          <w:sz w:val="24"/>
          <w:szCs w:val="24"/>
        </w:rPr>
        <w:t xml:space="preserve">Dosage Form: </w:t>
      </w:r>
      <w:r w:rsidR="000C1F98">
        <w:rPr>
          <w:rFonts w:eastAsiaTheme="minorHAnsi"/>
          <w:color w:val="000000"/>
          <w:sz w:val="24"/>
          <w:szCs w:val="24"/>
          <w:lang w:val="en-IN"/>
        </w:rPr>
        <w:t>Solid Oral Dosage form (capsules)</w:t>
      </w:r>
    </w:p>
    <w:p w14:paraId="660D65EB" w14:textId="77777777" w:rsidR="00E61612" w:rsidRDefault="00E61612" w:rsidP="000C1F98">
      <w:pPr>
        <w:autoSpaceDE w:val="0"/>
        <w:autoSpaceDN w:val="0"/>
        <w:adjustRightInd w:val="0"/>
        <w:rPr>
          <w:rFonts w:eastAsiaTheme="minorHAnsi"/>
          <w:color w:val="000000"/>
          <w:sz w:val="24"/>
          <w:szCs w:val="24"/>
          <w:lang w:val="en-IN"/>
        </w:rPr>
      </w:pPr>
      <w:r w:rsidRPr="00CA0921">
        <w:rPr>
          <w:b/>
          <w:bCs/>
          <w:color w:val="000000"/>
          <w:sz w:val="24"/>
          <w:szCs w:val="24"/>
        </w:rPr>
        <w:t>Visual &amp; Physical characteristics of the product:</w:t>
      </w:r>
      <w:r w:rsidRPr="00CA0921">
        <w:rPr>
          <w:bCs/>
          <w:color w:val="000000"/>
          <w:sz w:val="24"/>
          <w:szCs w:val="24"/>
        </w:rPr>
        <w:t xml:space="preserve"> </w:t>
      </w:r>
      <w:r w:rsidR="000C1F98">
        <w:rPr>
          <w:rFonts w:eastAsiaTheme="minorHAnsi"/>
          <w:color w:val="000000"/>
          <w:sz w:val="24"/>
          <w:szCs w:val="24"/>
          <w:lang w:val="en-IN"/>
        </w:rPr>
        <w:t>A Light Pink / Peach coloured hard gelatin capsule, size “2” containing white colour enteric coated granules.</w:t>
      </w:r>
    </w:p>
    <w:p w14:paraId="2B0BDA7D" w14:textId="77777777" w:rsidR="002E2798" w:rsidRDefault="002E2798" w:rsidP="000C1F98">
      <w:pPr>
        <w:autoSpaceDE w:val="0"/>
        <w:autoSpaceDN w:val="0"/>
        <w:adjustRightInd w:val="0"/>
        <w:rPr>
          <w:rFonts w:eastAsiaTheme="minorHAnsi"/>
          <w:color w:val="000000"/>
          <w:sz w:val="24"/>
          <w:szCs w:val="24"/>
          <w:lang w:val="en-IN"/>
        </w:rPr>
      </w:pPr>
    </w:p>
    <w:p w14:paraId="00C9B964" w14:textId="77777777" w:rsidR="002E2798" w:rsidRDefault="002E2798" w:rsidP="000C1F98">
      <w:pPr>
        <w:autoSpaceDE w:val="0"/>
        <w:autoSpaceDN w:val="0"/>
        <w:adjustRightInd w:val="0"/>
        <w:rPr>
          <w:rFonts w:eastAsiaTheme="minorHAnsi"/>
          <w:color w:val="000000"/>
          <w:sz w:val="24"/>
          <w:szCs w:val="24"/>
          <w:lang w:val="en-IN"/>
        </w:rPr>
      </w:pPr>
    </w:p>
    <w:p w14:paraId="55D9EBD9" w14:textId="77777777" w:rsidR="002E2798" w:rsidRDefault="002E2798" w:rsidP="000C1F98">
      <w:pPr>
        <w:autoSpaceDE w:val="0"/>
        <w:autoSpaceDN w:val="0"/>
        <w:adjustRightInd w:val="0"/>
        <w:rPr>
          <w:rFonts w:eastAsiaTheme="minorHAnsi"/>
          <w:color w:val="000000"/>
          <w:sz w:val="24"/>
          <w:szCs w:val="24"/>
          <w:lang w:val="en-IN"/>
        </w:rPr>
      </w:pPr>
    </w:p>
    <w:p w14:paraId="2439B85B" w14:textId="77777777" w:rsidR="002E2798" w:rsidRDefault="002E2798" w:rsidP="000C1F98">
      <w:pPr>
        <w:autoSpaceDE w:val="0"/>
        <w:autoSpaceDN w:val="0"/>
        <w:adjustRightInd w:val="0"/>
        <w:rPr>
          <w:rFonts w:eastAsiaTheme="minorHAnsi"/>
          <w:color w:val="000000"/>
          <w:sz w:val="24"/>
          <w:szCs w:val="24"/>
          <w:lang w:val="en-IN"/>
        </w:rPr>
      </w:pPr>
    </w:p>
    <w:p w14:paraId="556235CD" w14:textId="77777777" w:rsidR="002E2798" w:rsidRDefault="002E2798" w:rsidP="000C1F98">
      <w:pPr>
        <w:autoSpaceDE w:val="0"/>
        <w:autoSpaceDN w:val="0"/>
        <w:adjustRightInd w:val="0"/>
        <w:rPr>
          <w:rFonts w:eastAsiaTheme="minorHAnsi"/>
          <w:color w:val="000000"/>
          <w:sz w:val="24"/>
          <w:szCs w:val="24"/>
          <w:lang w:val="en-IN"/>
        </w:rPr>
      </w:pPr>
    </w:p>
    <w:p w14:paraId="33B6E2E6" w14:textId="77777777" w:rsidR="002E2798" w:rsidRDefault="002E2798" w:rsidP="000C1F98">
      <w:pPr>
        <w:autoSpaceDE w:val="0"/>
        <w:autoSpaceDN w:val="0"/>
        <w:adjustRightInd w:val="0"/>
        <w:rPr>
          <w:rFonts w:eastAsiaTheme="minorHAnsi"/>
          <w:color w:val="000000"/>
          <w:sz w:val="24"/>
          <w:szCs w:val="24"/>
          <w:lang w:val="en-IN"/>
        </w:rPr>
      </w:pPr>
    </w:p>
    <w:p w14:paraId="0A2B5AD7" w14:textId="77777777" w:rsidR="002E2798" w:rsidRDefault="002E2798" w:rsidP="000C1F98">
      <w:pPr>
        <w:autoSpaceDE w:val="0"/>
        <w:autoSpaceDN w:val="0"/>
        <w:adjustRightInd w:val="0"/>
        <w:rPr>
          <w:rFonts w:eastAsiaTheme="minorHAnsi"/>
          <w:color w:val="000000"/>
          <w:sz w:val="24"/>
          <w:szCs w:val="24"/>
          <w:lang w:val="en-IN"/>
        </w:rPr>
      </w:pPr>
    </w:p>
    <w:p w14:paraId="3C488FF2" w14:textId="77777777" w:rsidR="002E2798" w:rsidRDefault="002E2798" w:rsidP="000C1F98">
      <w:pPr>
        <w:autoSpaceDE w:val="0"/>
        <w:autoSpaceDN w:val="0"/>
        <w:adjustRightInd w:val="0"/>
        <w:rPr>
          <w:rFonts w:eastAsiaTheme="minorHAnsi"/>
          <w:color w:val="000000"/>
          <w:sz w:val="24"/>
          <w:szCs w:val="24"/>
          <w:lang w:val="en-IN"/>
        </w:rPr>
      </w:pPr>
    </w:p>
    <w:p w14:paraId="46C70657" w14:textId="77777777" w:rsidR="002E2798" w:rsidRPr="000C1F98" w:rsidRDefault="002E2798" w:rsidP="000C1F98">
      <w:pPr>
        <w:autoSpaceDE w:val="0"/>
        <w:autoSpaceDN w:val="0"/>
        <w:adjustRightInd w:val="0"/>
        <w:rPr>
          <w:rFonts w:eastAsiaTheme="minorHAnsi"/>
          <w:color w:val="000000"/>
          <w:sz w:val="24"/>
          <w:szCs w:val="24"/>
          <w:lang w:val="en-IN"/>
        </w:rPr>
      </w:pPr>
    </w:p>
    <w:p w14:paraId="5C4AFFC3" w14:textId="77777777" w:rsidR="00E61612" w:rsidRPr="00CA0921" w:rsidRDefault="00E61612" w:rsidP="00CA0921">
      <w:pPr>
        <w:spacing w:line="360" w:lineRule="auto"/>
        <w:jc w:val="both"/>
        <w:rPr>
          <w:b/>
          <w:sz w:val="24"/>
          <w:szCs w:val="24"/>
        </w:rPr>
      </w:pPr>
      <w:r w:rsidRPr="00CA0921">
        <w:rPr>
          <w:b/>
          <w:sz w:val="24"/>
          <w:szCs w:val="24"/>
        </w:rPr>
        <w:t>4. Clinical particulars</w:t>
      </w:r>
    </w:p>
    <w:p w14:paraId="4442B29B" w14:textId="77777777" w:rsidR="00E61612" w:rsidRDefault="00E61612" w:rsidP="00CA0921">
      <w:pPr>
        <w:pStyle w:val="Default"/>
        <w:spacing w:line="360" w:lineRule="auto"/>
        <w:jc w:val="both"/>
        <w:rPr>
          <w:b/>
          <w:bCs/>
        </w:rPr>
      </w:pPr>
      <w:r w:rsidRPr="00CA0921">
        <w:rPr>
          <w:b/>
          <w:bCs/>
        </w:rPr>
        <w:t>4.1. Therapeutic indications:</w:t>
      </w:r>
    </w:p>
    <w:p w14:paraId="4DCACB2F" w14:textId="77777777" w:rsidR="002E2798" w:rsidRPr="004810F4" w:rsidRDefault="002E2798" w:rsidP="002E2798">
      <w:pPr>
        <w:shd w:val="clear" w:color="auto" w:fill="FFFFFF"/>
        <w:spacing w:line="360" w:lineRule="auto"/>
        <w:rPr>
          <w:b/>
          <w:sz w:val="24"/>
          <w:u w:val="single"/>
        </w:rPr>
      </w:pPr>
      <w:r w:rsidRPr="004810F4">
        <w:rPr>
          <w:b/>
          <w:iCs/>
          <w:sz w:val="24"/>
          <w:u w:val="single"/>
        </w:rPr>
        <w:lastRenderedPageBreak/>
        <w:t>In adults:</w:t>
      </w:r>
    </w:p>
    <w:p w14:paraId="77E1B2F9" w14:textId="77777777" w:rsidR="002E2798" w:rsidRDefault="002E2798" w:rsidP="002E2798">
      <w:pPr>
        <w:numPr>
          <w:ilvl w:val="0"/>
          <w:numId w:val="37"/>
        </w:numPr>
        <w:shd w:val="clear" w:color="auto" w:fill="FFFFFF"/>
        <w:spacing w:line="360" w:lineRule="auto"/>
        <w:jc w:val="both"/>
        <w:rPr>
          <w:sz w:val="24"/>
        </w:rPr>
      </w:pPr>
      <w:r w:rsidRPr="004810F4">
        <w:rPr>
          <w:sz w:val="24"/>
        </w:rPr>
        <w:t xml:space="preserve">‘Gastro-esophageal reflux disease’ (GERD). </w:t>
      </w:r>
    </w:p>
    <w:p w14:paraId="289BDFB0" w14:textId="77777777" w:rsidR="002E2798" w:rsidRPr="004810F4" w:rsidRDefault="002E2798" w:rsidP="002E2798">
      <w:pPr>
        <w:numPr>
          <w:ilvl w:val="0"/>
          <w:numId w:val="37"/>
        </w:numPr>
        <w:shd w:val="clear" w:color="auto" w:fill="FFFFFF"/>
        <w:spacing w:line="360" w:lineRule="auto"/>
        <w:jc w:val="both"/>
        <w:rPr>
          <w:sz w:val="24"/>
        </w:rPr>
      </w:pPr>
      <w:r w:rsidRPr="004810F4">
        <w:rPr>
          <w:sz w:val="24"/>
        </w:rPr>
        <w:t>Ulcers in the upper part of the intestine (duodenal ulcer) or stomach (gastric ulcer).</w:t>
      </w:r>
    </w:p>
    <w:p w14:paraId="7EE125B2" w14:textId="77777777" w:rsidR="002E2798" w:rsidRDefault="002E2798" w:rsidP="002E2798">
      <w:pPr>
        <w:numPr>
          <w:ilvl w:val="0"/>
          <w:numId w:val="37"/>
        </w:numPr>
        <w:shd w:val="clear" w:color="auto" w:fill="FFFFFF"/>
        <w:spacing w:line="360" w:lineRule="auto"/>
        <w:jc w:val="both"/>
        <w:rPr>
          <w:sz w:val="24"/>
        </w:rPr>
      </w:pPr>
      <w:r w:rsidRPr="004810F4">
        <w:rPr>
          <w:sz w:val="24"/>
        </w:rPr>
        <w:t>Ulcers which are infected with bacteria called ‘Helicobacter pylori’</w:t>
      </w:r>
    </w:p>
    <w:p w14:paraId="1E7017CD" w14:textId="77777777" w:rsidR="002E2798" w:rsidRDefault="002E2798" w:rsidP="002E2798">
      <w:pPr>
        <w:numPr>
          <w:ilvl w:val="0"/>
          <w:numId w:val="37"/>
        </w:numPr>
        <w:shd w:val="clear" w:color="auto" w:fill="FFFFFF"/>
        <w:spacing w:line="360" w:lineRule="auto"/>
        <w:jc w:val="both"/>
        <w:rPr>
          <w:sz w:val="24"/>
        </w:rPr>
      </w:pPr>
      <w:r w:rsidRPr="004810F4">
        <w:rPr>
          <w:sz w:val="24"/>
        </w:rPr>
        <w:t xml:space="preserve">Ulcers caused by medicines called NSAIDs (Non-Steroidal Anti-Inflammatory Drugs). </w:t>
      </w:r>
    </w:p>
    <w:p w14:paraId="4D4DC9F2" w14:textId="77777777" w:rsidR="002E2798" w:rsidRPr="004810F4" w:rsidRDefault="002E2798" w:rsidP="002E2798">
      <w:pPr>
        <w:shd w:val="clear" w:color="auto" w:fill="FFFFFF"/>
        <w:spacing w:line="360" w:lineRule="auto"/>
        <w:jc w:val="both"/>
        <w:rPr>
          <w:b/>
          <w:sz w:val="24"/>
        </w:rPr>
      </w:pPr>
      <w:r w:rsidRPr="004810F4">
        <w:rPr>
          <w:b/>
          <w:sz w:val="24"/>
        </w:rPr>
        <w:t>In children:</w:t>
      </w:r>
    </w:p>
    <w:p w14:paraId="3C4924C7" w14:textId="77777777" w:rsidR="002E2798" w:rsidRPr="00C724AF" w:rsidRDefault="002E2798" w:rsidP="002E2798">
      <w:pPr>
        <w:shd w:val="clear" w:color="auto" w:fill="FFFFFF"/>
        <w:spacing w:line="360" w:lineRule="auto"/>
        <w:rPr>
          <w:sz w:val="24"/>
          <w:u w:val="single"/>
        </w:rPr>
      </w:pPr>
      <w:r w:rsidRPr="004810F4">
        <w:rPr>
          <w:b/>
          <w:iCs/>
          <w:sz w:val="24"/>
          <w:u w:val="single"/>
        </w:rPr>
        <w:t>Children over 1 year of age and ≥ 10 kg</w:t>
      </w:r>
      <w:r w:rsidRPr="00C724AF">
        <w:rPr>
          <w:iCs/>
          <w:sz w:val="24"/>
          <w:u w:val="single"/>
        </w:rPr>
        <w:t>:</w:t>
      </w:r>
    </w:p>
    <w:p w14:paraId="5D14B44B" w14:textId="77777777" w:rsidR="002E2798" w:rsidRPr="004810F4" w:rsidRDefault="002E2798" w:rsidP="002E2798">
      <w:pPr>
        <w:numPr>
          <w:ilvl w:val="0"/>
          <w:numId w:val="38"/>
        </w:numPr>
        <w:shd w:val="clear" w:color="auto" w:fill="FFFFFF"/>
        <w:spacing w:line="360" w:lineRule="auto"/>
        <w:jc w:val="both"/>
        <w:rPr>
          <w:sz w:val="24"/>
          <w:u w:val="single"/>
        </w:rPr>
      </w:pPr>
      <w:r w:rsidRPr="004810F4">
        <w:rPr>
          <w:sz w:val="24"/>
        </w:rPr>
        <w:t xml:space="preserve">‘Gastro-esophageal reflux disease’ (GERD). </w:t>
      </w:r>
    </w:p>
    <w:p w14:paraId="7E557E74" w14:textId="77777777" w:rsidR="002E2798" w:rsidRPr="004810F4" w:rsidRDefault="002E2798" w:rsidP="002E2798">
      <w:pPr>
        <w:shd w:val="clear" w:color="auto" w:fill="FFFFFF"/>
        <w:spacing w:line="360" w:lineRule="auto"/>
        <w:jc w:val="both"/>
        <w:rPr>
          <w:sz w:val="24"/>
          <w:u w:val="single"/>
        </w:rPr>
      </w:pPr>
      <w:r w:rsidRPr="004810F4">
        <w:rPr>
          <w:b/>
          <w:iCs/>
          <w:sz w:val="24"/>
          <w:u w:val="single"/>
        </w:rPr>
        <w:t>Children and adolescents over 4 years of age</w:t>
      </w:r>
      <w:r w:rsidRPr="004810F4">
        <w:rPr>
          <w:iCs/>
          <w:sz w:val="24"/>
          <w:u w:val="single"/>
        </w:rPr>
        <w:t>:</w:t>
      </w:r>
    </w:p>
    <w:p w14:paraId="30E126D8" w14:textId="77777777" w:rsidR="002E2798" w:rsidRPr="002E2798" w:rsidRDefault="002E2798" w:rsidP="00CA0921">
      <w:pPr>
        <w:numPr>
          <w:ilvl w:val="0"/>
          <w:numId w:val="38"/>
        </w:numPr>
        <w:shd w:val="clear" w:color="auto" w:fill="FFFFFF"/>
        <w:spacing w:line="360" w:lineRule="auto"/>
        <w:jc w:val="both"/>
        <w:rPr>
          <w:sz w:val="24"/>
        </w:rPr>
      </w:pPr>
      <w:r w:rsidRPr="004810F4">
        <w:rPr>
          <w:sz w:val="24"/>
        </w:rPr>
        <w:t xml:space="preserve">Ulcers which are infected with bacteria called ‘Helicobacter pylori’. </w:t>
      </w:r>
    </w:p>
    <w:p w14:paraId="489C0C4D" w14:textId="77777777" w:rsidR="00E61612" w:rsidRDefault="00E61612" w:rsidP="00CA0921">
      <w:pPr>
        <w:pStyle w:val="Default"/>
        <w:spacing w:line="360" w:lineRule="auto"/>
        <w:jc w:val="both"/>
        <w:rPr>
          <w:b/>
          <w:bCs/>
        </w:rPr>
      </w:pPr>
      <w:r w:rsidRPr="00CA0921">
        <w:rPr>
          <w:b/>
          <w:bCs/>
        </w:rPr>
        <w:t>4.2. Posology and method of administration:</w:t>
      </w:r>
    </w:p>
    <w:p w14:paraId="2590CC07" w14:textId="77777777" w:rsidR="002E2798" w:rsidRPr="00D34BC2" w:rsidRDefault="002E2798" w:rsidP="002E2798">
      <w:pPr>
        <w:pStyle w:val="Heading3"/>
        <w:shd w:val="clear" w:color="auto" w:fill="FFFFFF"/>
        <w:tabs>
          <w:tab w:val="clear" w:pos="0"/>
        </w:tabs>
        <w:spacing w:line="360" w:lineRule="auto"/>
        <w:ind w:left="720"/>
        <w:rPr>
          <w:rFonts w:ascii="Times New Roman" w:hAnsi="Times New Roman"/>
          <w:b/>
          <w:szCs w:val="24"/>
        </w:rPr>
      </w:pPr>
      <w:r w:rsidRPr="00D34BC2">
        <w:rPr>
          <w:rFonts w:ascii="Times New Roman" w:hAnsi="Times New Roman"/>
          <w:b/>
          <w:szCs w:val="24"/>
        </w:rPr>
        <w:t>Dosage:</w:t>
      </w:r>
    </w:p>
    <w:p w14:paraId="3EEFEB28" w14:textId="77777777" w:rsidR="002E2798" w:rsidRPr="00D34BC2" w:rsidRDefault="002E2798" w:rsidP="002E2798">
      <w:pPr>
        <w:numPr>
          <w:ilvl w:val="0"/>
          <w:numId w:val="46"/>
        </w:numPr>
        <w:shd w:val="clear" w:color="auto" w:fill="FFFFFF"/>
        <w:spacing w:line="360" w:lineRule="auto"/>
        <w:ind w:left="720" w:hanging="270"/>
        <w:jc w:val="both"/>
        <w:rPr>
          <w:b/>
          <w:color w:val="000000"/>
          <w:sz w:val="24"/>
          <w:szCs w:val="24"/>
          <w:u w:val="single"/>
        </w:rPr>
      </w:pPr>
      <w:r w:rsidRPr="00D34BC2">
        <w:rPr>
          <w:b/>
          <w:color w:val="000000"/>
          <w:sz w:val="24"/>
          <w:szCs w:val="24"/>
          <w:u w:val="single"/>
        </w:rPr>
        <w:t>Adult</w:t>
      </w:r>
    </w:p>
    <w:p w14:paraId="151D235E" w14:textId="77777777" w:rsidR="002E2798" w:rsidRPr="002515F0" w:rsidRDefault="002E2798" w:rsidP="002E2798">
      <w:pPr>
        <w:pStyle w:val="paragraph"/>
        <w:shd w:val="clear" w:color="auto" w:fill="FFFFFF"/>
        <w:spacing w:before="0" w:beforeAutospacing="0" w:after="0" w:afterAutospacing="0" w:line="360" w:lineRule="auto"/>
        <w:ind w:left="720"/>
        <w:jc w:val="both"/>
        <w:rPr>
          <w:b/>
          <w:color w:val="000000"/>
        </w:rPr>
      </w:pPr>
      <w:r w:rsidRPr="002515F0">
        <w:rPr>
          <w:b/>
          <w:color w:val="000000"/>
        </w:rPr>
        <w:t>To treat symptoms of GERD such as</w:t>
      </w:r>
      <w:r w:rsidRPr="002515F0">
        <w:rPr>
          <w:rStyle w:val="apple-converted-space"/>
          <w:b/>
          <w:color w:val="000000"/>
        </w:rPr>
        <w:t> </w:t>
      </w:r>
      <w:r w:rsidRPr="002515F0">
        <w:rPr>
          <w:rStyle w:val="bold"/>
          <w:b/>
          <w:bCs/>
          <w:color w:val="000000"/>
        </w:rPr>
        <w:t>heartburn and acid regurgitation</w:t>
      </w:r>
      <w:r w:rsidRPr="002515F0">
        <w:rPr>
          <w:b/>
          <w:color w:val="000000"/>
        </w:rPr>
        <w:t>:</w:t>
      </w:r>
    </w:p>
    <w:p w14:paraId="19E28BB7" w14:textId="77777777" w:rsidR="002E2798" w:rsidRPr="002A0A16" w:rsidRDefault="002E2798" w:rsidP="002E2798">
      <w:pPr>
        <w:numPr>
          <w:ilvl w:val="0"/>
          <w:numId w:val="44"/>
        </w:numPr>
        <w:shd w:val="clear" w:color="auto" w:fill="FFFFFF"/>
        <w:spacing w:line="360" w:lineRule="auto"/>
        <w:ind w:hanging="180"/>
        <w:jc w:val="both"/>
        <w:rPr>
          <w:color w:val="000000"/>
          <w:sz w:val="24"/>
          <w:szCs w:val="24"/>
        </w:rPr>
      </w:pPr>
      <w:r>
        <w:rPr>
          <w:color w:val="000000"/>
          <w:sz w:val="24"/>
          <w:szCs w:val="24"/>
        </w:rPr>
        <w:t>T</w:t>
      </w:r>
      <w:r w:rsidRPr="002A0A16">
        <w:rPr>
          <w:color w:val="000000"/>
          <w:sz w:val="24"/>
          <w:szCs w:val="24"/>
        </w:rPr>
        <w:t xml:space="preserve">he usual dose is 20 mg once a day for 4-8 weeks. </w:t>
      </w:r>
      <w:r>
        <w:rPr>
          <w:color w:val="000000"/>
          <w:sz w:val="24"/>
          <w:szCs w:val="24"/>
        </w:rPr>
        <w:t>A</w:t>
      </w:r>
      <w:r w:rsidRPr="002A0A16">
        <w:rPr>
          <w:color w:val="000000"/>
          <w:sz w:val="24"/>
          <w:szCs w:val="24"/>
        </w:rPr>
        <w:t xml:space="preserve"> dose of 40 mg for a further 8 weeks if your gullet has not yet healed.</w:t>
      </w:r>
    </w:p>
    <w:p w14:paraId="2316B8A9" w14:textId="77777777" w:rsidR="002E2798" w:rsidRPr="002A0A16" w:rsidRDefault="002E2798" w:rsidP="002E2798">
      <w:pPr>
        <w:numPr>
          <w:ilvl w:val="0"/>
          <w:numId w:val="44"/>
        </w:numPr>
        <w:shd w:val="clear" w:color="auto" w:fill="FFFFFF"/>
        <w:spacing w:line="360" w:lineRule="auto"/>
        <w:ind w:hanging="180"/>
        <w:jc w:val="both"/>
        <w:rPr>
          <w:color w:val="000000"/>
          <w:sz w:val="24"/>
          <w:szCs w:val="24"/>
        </w:rPr>
      </w:pPr>
      <w:r w:rsidRPr="002A0A16">
        <w:rPr>
          <w:color w:val="000000"/>
          <w:sz w:val="24"/>
          <w:szCs w:val="24"/>
        </w:rPr>
        <w:t>The usual dose once the gullet has healed is 10 mg once a day.</w:t>
      </w:r>
    </w:p>
    <w:p w14:paraId="39B6E251" w14:textId="77777777" w:rsidR="002E2798" w:rsidRPr="002A0A16" w:rsidRDefault="002E2798" w:rsidP="002E2798">
      <w:pPr>
        <w:numPr>
          <w:ilvl w:val="0"/>
          <w:numId w:val="44"/>
        </w:numPr>
        <w:shd w:val="clear" w:color="auto" w:fill="FFFFFF"/>
        <w:spacing w:line="360" w:lineRule="auto"/>
        <w:ind w:hanging="180"/>
        <w:jc w:val="both"/>
        <w:rPr>
          <w:color w:val="000000"/>
          <w:sz w:val="24"/>
          <w:szCs w:val="24"/>
        </w:rPr>
      </w:pPr>
      <w:r w:rsidRPr="002A0A16">
        <w:rPr>
          <w:color w:val="000000"/>
          <w:sz w:val="24"/>
          <w:szCs w:val="24"/>
        </w:rPr>
        <w:t>If your gullet has not been damaged, the usual dose is 10 mg once a day.</w:t>
      </w:r>
    </w:p>
    <w:p w14:paraId="38151CBC" w14:textId="77777777" w:rsidR="002E2798" w:rsidRPr="002515F0" w:rsidRDefault="002E2798" w:rsidP="002E2798">
      <w:pPr>
        <w:pStyle w:val="paragraph"/>
        <w:shd w:val="clear" w:color="auto" w:fill="FFFFFF"/>
        <w:spacing w:before="0" w:beforeAutospacing="0" w:after="0" w:afterAutospacing="0" w:line="360" w:lineRule="auto"/>
        <w:ind w:left="720"/>
        <w:jc w:val="both"/>
        <w:rPr>
          <w:b/>
          <w:color w:val="000000"/>
        </w:rPr>
      </w:pPr>
      <w:r w:rsidRPr="002515F0">
        <w:rPr>
          <w:b/>
          <w:color w:val="000000"/>
        </w:rPr>
        <w:t>To treat</w:t>
      </w:r>
      <w:r w:rsidRPr="002515F0">
        <w:rPr>
          <w:rStyle w:val="apple-converted-space"/>
          <w:b/>
          <w:color w:val="000000"/>
        </w:rPr>
        <w:t> </w:t>
      </w:r>
      <w:r w:rsidRPr="002515F0">
        <w:rPr>
          <w:rStyle w:val="bold"/>
          <w:b/>
          <w:bCs/>
          <w:color w:val="000000"/>
        </w:rPr>
        <w:t>ulcers in the upper part of the intestine</w:t>
      </w:r>
      <w:r w:rsidRPr="002515F0">
        <w:rPr>
          <w:rStyle w:val="apple-converted-space"/>
          <w:b/>
          <w:color w:val="000000"/>
        </w:rPr>
        <w:t> </w:t>
      </w:r>
      <w:r w:rsidRPr="002515F0">
        <w:rPr>
          <w:b/>
          <w:color w:val="000000"/>
        </w:rPr>
        <w:t>(duodenal ulcer):</w:t>
      </w:r>
    </w:p>
    <w:p w14:paraId="1CFC33F0" w14:textId="77777777" w:rsidR="002E2798" w:rsidRPr="00E46B4D" w:rsidRDefault="002E2798" w:rsidP="002E2798">
      <w:pPr>
        <w:numPr>
          <w:ilvl w:val="0"/>
          <w:numId w:val="45"/>
        </w:numPr>
        <w:shd w:val="clear" w:color="auto" w:fill="FFFFFF"/>
        <w:spacing w:line="360" w:lineRule="auto"/>
        <w:ind w:hanging="180"/>
        <w:jc w:val="both"/>
        <w:rPr>
          <w:color w:val="000000"/>
          <w:sz w:val="24"/>
          <w:szCs w:val="24"/>
        </w:rPr>
      </w:pPr>
      <w:r w:rsidRPr="00E46B4D">
        <w:rPr>
          <w:color w:val="000000"/>
          <w:sz w:val="24"/>
          <w:szCs w:val="24"/>
        </w:rPr>
        <w:t>The usual dose is 20 mg once a day for 2 weeks. If the ulcer does not fully heal, the dose can be increased to 40 mg once a day for 4 weeks.</w:t>
      </w:r>
    </w:p>
    <w:p w14:paraId="12613749" w14:textId="77777777" w:rsidR="002E2798" w:rsidRPr="002515F0" w:rsidRDefault="002E2798" w:rsidP="002E2798">
      <w:pPr>
        <w:pStyle w:val="paragraph"/>
        <w:shd w:val="clear" w:color="auto" w:fill="FFFFFF"/>
        <w:spacing w:before="0" w:beforeAutospacing="0" w:after="0" w:afterAutospacing="0" w:line="360" w:lineRule="auto"/>
        <w:ind w:left="720"/>
        <w:jc w:val="both"/>
        <w:rPr>
          <w:b/>
          <w:color w:val="000000"/>
        </w:rPr>
      </w:pPr>
      <w:r w:rsidRPr="002515F0">
        <w:rPr>
          <w:b/>
          <w:color w:val="000000"/>
        </w:rPr>
        <w:t>To treat</w:t>
      </w:r>
      <w:r w:rsidRPr="002515F0">
        <w:rPr>
          <w:rStyle w:val="apple-converted-space"/>
          <w:b/>
          <w:color w:val="000000"/>
        </w:rPr>
        <w:t> </w:t>
      </w:r>
      <w:r w:rsidRPr="002515F0">
        <w:rPr>
          <w:rStyle w:val="bold"/>
          <w:b/>
          <w:bCs/>
          <w:color w:val="000000"/>
        </w:rPr>
        <w:t>ulcers in the stomach</w:t>
      </w:r>
      <w:r w:rsidRPr="002515F0">
        <w:rPr>
          <w:rStyle w:val="apple-converted-space"/>
          <w:b/>
          <w:color w:val="000000"/>
        </w:rPr>
        <w:t> </w:t>
      </w:r>
      <w:r w:rsidRPr="002515F0">
        <w:rPr>
          <w:b/>
          <w:color w:val="000000"/>
        </w:rPr>
        <w:t>(gastric ulcer):</w:t>
      </w:r>
    </w:p>
    <w:p w14:paraId="3692AEBB" w14:textId="77777777" w:rsidR="002E2798" w:rsidRPr="00E46B4D" w:rsidRDefault="002E2798" w:rsidP="002E2798">
      <w:pPr>
        <w:numPr>
          <w:ilvl w:val="0"/>
          <w:numId w:val="47"/>
        </w:numPr>
        <w:shd w:val="clear" w:color="auto" w:fill="FFFFFF"/>
        <w:spacing w:line="360" w:lineRule="auto"/>
        <w:ind w:hanging="180"/>
        <w:jc w:val="both"/>
        <w:rPr>
          <w:color w:val="000000"/>
          <w:sz w:val="24"/>
          <w:szCs w:val="24"/>
        </w:rPr>
      </w:pPr>
      <w:r w:rsidRPr="00E46B4D">
        <w:rPr>
          <w:color w:val="000000"/>
          <w:sz w:val="24"/>
          <w:szCs w:val="24"/>
        </w:rPr>
        <w:t>The usual dose is 20 mg once a day for 4 weeks. If the ulcer does not fully heal, the dose can be increased to 40 mg once a day for 8 weeks.</w:t>
      </w:r>
    </w:p>
    <w:p w14:paraId="34461327" w14:textId="77777777" w:rsidR="002E2798" w:rsidRPr="002515F0" w:rsidRDefault="002E2798" w:rsidP="002E2798">
      <w:pPr>
        <w:pStyle w:val="paragraph"/>
        <w:shd w:val="clear" w:color="auto" w:fill="FFFFFF"/>
        <w:spacing w:before="0" w:beforeAutospacing="0" w:after="0" w:afterAutospacing="0" w:line="360" w:lineRule="auto"/>
        <w:ind w:left="720"/>
        <w:jc w:val="both"/>
        <w:rPr>
          <w:b/>
          <w:color w:val="000000"/>
        </w:rPr>
      </w:pPr>
      <w:r w:rsidRPr="002515F0">
        <w:rPr>
          <w:b/>
          <w:color w:val="000000"/>
        </w:rPr>
        <w:t>To</w:t>
      </w:r>
      <w:r w:rsidRPr="002515F0">
        <w:rPr>
          <w:rStyle w:val="apple-converted-space"/>
          <w:b/>
          <w:color w:val="000000"/>
        </w:rPr>
        <w:t> </w:t>
      </w:r>
      <w:r w:rsidRPr="002515F0">
        <w:rPr>
          <w:rStyle w:val="bold"/>
          <w:b/>
          <w:bCs/>
          <w:color w:val="000000"/>
        </w:rPr>
        <w:t>prevent the duodenal and stomach ulcers</w:t>
      </w:r>
      <w:r w:rsidRPr="002515F0">
        <w:rPr>
          <w:rStyle w:val="apple-converted-space"/>
          <w:b/>
          <w:color w:val="000000"/>
        </w:rPr>
        <w:t> </w:t>
      </w:r>
      <w:r w:rsidRPr="002515F0">
        <w:rPr>
          <w:b/>
          <w:color w:val="000000"/>
        </w:rPr>
        <w:t>from coming back:</w:t>
      </w:r>
    </w:p>
    <w:p w14:paraId="7F598320" w14:textId="77777777" w:rsidR="002E2798" w:rsidRPr="00E46B4D" w:rsidRDefault="002E2798" w:rsidP="002E2798">
      <w:pPr>
        <w:numPr>
          <w:ilvl w:val="0"/>
          <w:numId w:val="48"/>
        </w:numPr>
        <w:shd w:val="clear" w:color="auto" w:fill="FFFFFF"/>
        <w:spacing w:line="360" w:lineRule="auto"/>
        <w:ind w:hanging="180"/>
        <w:jc w:val="both"/>
        <w:rPr>
          <w:color w:val="000000"/>
          <w:u w:val="single"/>
        </w:rPr>
      </w:pPr>
      <w:r w:rsidRPr="00E46B4D">
        <w:rPr>
          <w:color w:val="000000"/>
          <w:sz w:val="24"/>
          <w:szCs w:val="24"/>
        </w:rPr>
        <w:t xml:space="preserve">The usual dose is 10 mg or 20 mg once a day. </w:t>
      </w:r>
    </w:p>
    <w:p w14:paraId="2808592A" w14:textId="77777777" w:rsidR="002E2798" w:rsidRPr="002515F0" w:rsidRDefault="002E2798" w:rsidP="002E2798">
      <w:pPr>
        <w:numPr>
          <w:ilvl w:val="0"/>
          <w:numId w:val="48"/>
        </w:numPr>
        <w:shd w:val="clear" w:color="auto" w:fill="FFFFFF"/>
        <w:spacing w:line="360" w:lineRule="auto"/>
        <w:ind w:hanging="180"/>
        <w:jc w:val="both"/>
        <w:rPr>
          <w:b/>
          <w:color w:val="000000"/>
          <w:sz w:val="24"/>
          <w:szCs w:val="24"/>
        </w:rPr>
      </w:pPr>
      <w:r w:rsidRPr="002515F0">
        <w:rPr>
          <w:b/>
          <w:color w:val="000000"/>
          <w:sz w:val="24"/>
          <w:szCs w:val="24"/>
        </w:rPr>
        <w:t>To treat duodenal and stomach</w:t>
      </w:r>
      <w:r w:rsidRPr="002515F0">
        <w:rPr>
          <w:rStyle w:val="apple-converted-space"/>
          <w:b/>
          <w:color w:val="000000"/>
          <w:sz w:val="24"/>
          <w:szCs w:val="24"/>
        </w:rPr>
        <w:t> </w:t>
      </w:r>
      <w:r w:rsidRPr="002515F0">
        <w:rPr>
          <w:rStyle w:val="bold"/>
          <w:b/>
          <w:bCs/>
          <w:color w:val="000000"/>
          <w:sz w:val="24"/>
          <w:szCs w:val="24"/>
        </w:rPr>
        <w:t>ulcers caused by NSAIDs</w:t>
      </w:r>
      <w:r w:rsidRPr="002515F0">
        <w:rPr>
          <w:rStyle w:val="apple-converted-space"/>
          <w:b/>
          <w:color w:val="000000"/>
          <w:sz w:val="24"/>
          <w:szCs w:val="24"/>
        </w:rPr>
        <w:t> </w:t>
      </w:r>
      <w:r w:rsidRPr="002515F0">
        <w:rPr>
          <w:b/>
          <w:color w:val="000000"/>
          <w:sz w:val="24"/>
          <w:szCs w:val="24"/>
        </w:rPr>
        <w:t>(Non-Steroidal Anti-Inflammatory Drugs):</w:t>
      </w:r>
    </w:p>
    <w:p w14:paraId="63516185" w14:textId="77777777" w:rsidR="002E2798" w:rsidRPr="002A0A16" w:rsidRDefault="002E2798" w:rsidP="002E2798">
      <w:pPr>
        <w:numPr>
          <w:ilvl w:val="0"/>
          <w:numId w:val="39"/>
        </w:numPr>
        <w:shd w:val="clear" w:color="auto" w:fill="FFFFFF"/>
        <w:spacing w:line="360" w:lineRule="auto"/>
        <w:ind w:hanging="180"/>
        <w:jc w:val="both"/>
        <w:rPr>
          <w:color w:val="000000"/>
          <w:sz w:val="24"/>
          <w:szCs w:val="24"/>
        </w:rPr>
      </w:pPr>
      <w:r w:rsidRPr="002A0A16">
        <w:rPr>
          <w:color w:val="000000"/>
          <w:sz w:val="24"/>
          <w:szCs w:val="24"/>
        </w:rPr>
        <w:t>The usual dose is 20 mg once a day for 4-8 weeks.</w:t>
      </w:r>
    </w:p>
    <w:p w14:paraId="44170D2C" w14:textId="77777777" w:rsidR="002E2798" w:rsidRPr="002515F0" w:rsidRDefault="002E2798" w:rsidP="002E2798">
      <w:pPr>
        <w:pStyle w:val="paragraph"/>
        <w:shd w:val="clear" w:color="auto" w:fill="FFFFFF"/>
        <w:spacing w:before="0" w:beforeAutospacing="0" w:after="0" w:afterAutospacing="0" w:line="360" w:lineRule="auto"/>
        <w:ind w:left="720"/>
        <w:jc w:val="both"/>
        <w:rPr>
          <w:b/>
          <w:color w:val="000000"/>
        </w:rPr>
      </w:pPr>
      <w:r w:rsidRPr="002515F0">
        <w:rPr>
          <w:b/>
          <w:color w:val="000000"/>
        </w:rPr>
        <w:lastRenderedPageBreak/>
        <w:t>To</w:t>
      </w:r>
      <w:r w:rsidRPr="002515F0">
        <w:rPr>
          <w:rStyle w:val="apple-converted-space"/>
          <w:b/>
          <w:color w:val="000000"/>
        </w:rPr>
        <w:t> </w:t>
      </w:r>
      <w:r w:rsidRPr="002515F0">
        <w:rPr>
          <w:rStyle w:val="bold"/>
          <w:b/>
          <w:bCs/>
          <w:color w:val="000000"/>
        </w:rPr>
        <w:t>prevent duodenal and stomach ulcers</w:t>
      </w:r>
      <w:r w:rsidRPr="002515F0">
        <w:rPr>
          <w:rStyle w:val="apple-converted-space"/>
          <w:b/>
          <w:color w:val="000000"/>
        </w:rPr>
        <w:t> </w:t>
      </w:r>
      <w:r w:rsidRPr="002515F0">
        <w:rPr>
          <w:b/>
          <w:color w:val="000000"/>
        </w:rPr>
        <w:t xml:space="preserve">if you are taking </w:t>
      </w:r>
      <w:r w:rsidRPr="002515F0">
        <w:rPr>
          <w:rStyle w:val="bold"/>
          <w:b/>
          <w:bCs/>
          <w:color w:val="000000"/>
        </w:rPr>
        <w:t>NSAIDs:</w:t>
      </w:r>
    </w:p>
    <w:p w14:paraId="4361335E" w14:textId="77777777" w:rsidR="002E2798" w:rsidRPr="002A0A16" w:rsidRDefault="002E2798" w:rsidP="002E2798">
      <w:pPr>
        <w:numPr>
          <w:ilvl w:val="0"/>
          <w:numId w:val="40"/>
        </w:numPr>
        <w:shd w:val="clear" w:color="auto" w:fill="FFFFFF"/>
        <w:spacing w:line="360" w:lineRule="auto"/>
        <w:ind w:left="720" w:hanging="180"/>
        <w:jc w:val="both"/>
        <w:rPr>
          <w:color w:val="000000"/>
          <w:sz w:val="24"/>
          <w:szCs w:val="24"/>
        </w:rPr>
      </w:pPr>
      <w:r w:rsidRPr="002A0A16">
        <w:rPr>
          <w:color w:val="000000"/>
          <w:sz w:val="24"/>
          <w:szCs w:val="24"/>
        </w:rPr>
        <w:t>The usual dose is 20 mg once a day.</w:t>
      </w:r>
    </w:p>
    <w:p w14:paraId="02FC6396" w14:textId="77777777" w:rsidR="002E2798" w:rsidRPr="002515F0" w:rsidRDefault="002E2798" w:rsidP="002E2798">
      <w:pPr>
        <w:pStyle w:val="paragraph"/>
        <w:shd w:val="clear" w:color="auto" w:fill="FFFFFF"/>
        <w:spacing w:before="0" w:beforeAutospacing="0" w:after="0" w:afterAutospacing="0" w:line="360" w:lineRule="auto"/>
        <w:ind w:left="720"/>
        <w:jc w:val="both"/>
        <w:rPr>
          <w:b/>
          <w:color w:val="000000"/>
        </w:rPr>
      </w:pPr>
      <w:r w:rsidRPr="002515F0">
        <w:rPr>
          <w:b/>
          <w:color w:val="000000"/>
        </w:rPr>
        <w:t>To treat too much acid in the stomach caused by a</w:t>
      </w:r>
      <w:r w:rsidRPr="002515F0">
        <w:rPr>
          <w:rStyle w:val="apple-converted-space"/>
          <w:b/>
          <w:color w:val="000000"/>
        </w:rPr>
        <w:t> </w:t>
      </w:r>
      <w:r w:rsidRPr="002515F0">
        <w:rPr>
          <w:rStyle w:val="bold"/>
          <w:b/>
          <w:bCs/>
          <w:color w:val="000000"/>
        </w:rPr>
        <w:t>growth in the pancreas (Zollinger-Ellison syndrome)</w:t>
      </w:r>
      <w:r w:rsidRPr="002515F0">
        <w:rPr>
          <w:b/>
          <w:color w:val="000000"/>
        </w:rPr>
        <w:t>:</w:t>
      </w:r>
    </w:p>
    <w:p w14:paraId="27851B14" w14:textId="77777777" w:rsidR="002E2798" w:rsidRPr="002A0A16" w:rsidRDefault="002E2798" w:rsidP="002E2798">
      <w:pPr>
        <w:numPr>
          <w:ilvl w:val="0"/>
          <w:numId w:val="41"/>
        </w:numPr>
        <w:shd w:val="clear" w:color="auto" w:fill="FFFFFF"/>
        <w:spacing w:line="360" w:lineRule="auto"/>
        <w:ind w:left="720" w:hanging="180"/>
        <w:jc w:val="both"/>
        <w:rPr>
          <w:color w:val="000000"/>
          <w:sz w:val="24"/>
          <w:szCs w:val="24"/>
        </w:rPr>
      </w:pPr>
      <w:r w:rsidRPr="002A0A16">
        <w:rPr>
          <w:color w:val="000000"/>
          <w:sz w:val="24"/>
          <w:szCs w:val="24"/>
        </w:rPr>
        <w:t>The usual dose is 60 mg daily.</w:t>
      </w:r>
    </w:p>
    <w:p w14:paraId="386CA0D7" w14:textId="77777777" w:rsidR="002E2798" w:rsidRPr="004B0BFF" w:rsidRDefault="002E2798" w:rsidP="002E2798">
      <w:pPr>
        <w:pStyle w:val="paragraph"/>
        <w:numPr>
          <w:ilvl w:val="0"/>
          <w:numId w:val="49"/>
        </w:numPr>
        <w:shd w:val="clear" w:color="auto" w:fill="FFFFFF"/>
        <w:spacing w:before="0" w:beforeAutospacing="0" w:after="0" w:afterAutospacing="0" w:line="360" w:lineRule="auto"/>
        <w:ind w:left="720" w:hanging="270"/>
        <w:jc w:val="both"/>
        <w:rPr>
          <w:b/>
          <w:color w:val="000000"/>
          <w:u w:val="single"/>
        </w:rPr>
      </w:pPr>
      <w:r w:rsidRPr="004B0BFF">
        <w:rPr>
          <w:b/>
          <w:color w:val="000000"/>
          <w:u w:val="single"/>
        </w:rPr>
        <w:t>Children:</w:t>
      </w:r>
    </w:p>
    <w:p w14:paraId="3A632907" w14:textId="77777777" w:rsidR="002E2798" w:rsidRPr="002515F0" w:rsidRDefault="002E2798" w:rsidP="002E2798">
      <w:pPr>
        <w:pStyle w:val="paragraph"/>
        <w:shd w:val="clear" w:color="auto" w:fill="FFFFFF"/>
        <w:spacing w:before="0" w:beforeAutospacing="0" w:after="0" w:afterAutospacing="0" w:line="360" w:lineRule="auto"/>
        <w:ind w:left="720"/>
        <w:jc w:val="both"/>
        <w:rPr>
          <w:b/>
          <w:color w:val="000000"/>
        </w:rPr>
      </w:pPr>
      <w:r w:rsidRPr="002515F0">
        <w:rPr>
          <w:b/>
          <w:color w:val="000000"/>
        </w:rPr>
        <w:t>To treat symptoms of GERD such as</w:t>
      </w:r>
      <w:r w:rsidRPr="002515F0">
        <w:rPr>
          <w:rStyle w:val="apple-converted-space"/>
          <w:b/>
          <w:color w:val="000000"/>
        </w:rPr>
        <w:t> </w:t>
      </w:r>
      <w:r w:rsidRPr="002515F0">
        <w:rPr>
          <w:rStyle w:val="bold"/>
          <w:b/>
          <w:bCs/>
          <w:color w:val="000000"/>
        </w:rPr>
        <w:t>heartburn and acid regurgitation</w:t>
      </w:r>
      <w:r w:rsidRPr="002515F0">
        <w:rPr>
          <w:b/>
          <w:color w:val="000000"/>
        </w:rPr>
        <w:t>:</w:t>
      </w:r>
    </w:p>
    <w:p w14:paraId="0929D1FB" w14:textId="77777777" w:rsidR="002E2798" w:rsidRPr="004B0BFF" w:rsidRDefault="002E2798" w:rsidP="002E2798">
      <w:pPr>
        <w:numPr>
          <w:ilvl w:val="0"/>
          <w:numId w:val="42"/>
        </w:numPr>
        <w:shd w:val="clear" w:color="auto" w:fill="FFFFFF"/>
        <w:spacing w:line="360" w:lineRule="auto"/>
        <w:ind w:left="720" w:hanging="180"/>
        <w:jc w:val="both"/>
        <w:rPr>
          <w:b/>
          <w:color w:val="000000"/>
        </w:rPr>
      </w:pPr>
      <w:r w:rsidRPr="004B0BFF">
        <w:rPr>
          <w:color w:val="000000"/>
          <w:sz w:val="24"/>
          <w:szCs w:val="24"/>
        </w:rPr>
        <w:t xml:space="preserve">Children over 1 year of age and with a body weight of more than 10 kg may take Omeprazole. </w:t>
      </w:r>
    </w:p>
    <w:p w14:paraId="246934E5" w14:textId="77777777" w:rsidR="002E2798" w:rsidRPr="002515F0" w:rsidRDefault="002E2798" w:rsidP="002E2798">
      <w:pPr>
        <w:numPr>
          <w:ilvl w:val="0"/>
          <w:numId w:val="42"/>
        </w:numPr>
        <w:shd w:val="clear" w:color="auto" w:fill="FFFFFF"/>
        <w:spacing w:line="360" w:lineRule="auto"/>
        <w:ind w:left="720" w:hanging="180"/>
        <w:jc w:val="both"/>
        <w:rPr>
          <w:b/>
          <w:color w:val="000000"/>
          <w:sz w:val="24"/>
          <w:szCs w:val="24"/>
        </w:rPr>
      </w:pPr>
      <w:r w:rsidRPr="002515F0">
        <w:rPr>
          <w:b/>
          <w:color w:val="000000"/>
          <w:sz w:val="24"/>
          <w:szCs w:val="24"/>
        </w:rPr>
        <w:t>To treat</w:t>
      </w:r>
      <w:r w:rsidRPr="002515F0">
        <w:rPr>
          <w:rStyle w:val="apple-converted-space"/>
          <w:b/>
          <w:color w:val="000000"/>
          <w:sz w:val="24"/>
          <w:szCs w:val="24"/>
        </w:rPr>
        <w:t> </w:t>
      </w:r>
      <w:r w:rsidRPr="002515F0">
        <w:rPr>
          <w:rStyle w:val="bold"/>
          <w:b/>
          <w:bCs/>
          <w:color w:val="000000"/>
          <w:sz w:val="24"/>
          <w:szCs w:val="24"/>
        </w:rPr>
        <w:t>ulcers caused by</w:t>
      </w:r>
      <w:r w:rsidRPr="002515F0">
        <w:rPr>
          <w:rStyle w:val="apple-converted-space"/>
          <w:b/>
          <w:bCs/>
          <w:color w:val="000000"/>
          <w:sz w:val="24"/>
          <w:szCs w:val="24"/>
        </w:rPr>
        <w:t> </w:t>
      </w:r>
      <w:r w:rsidRPr="002515F0">
        <w:rPr>
          <w:rStyle w:val="italics"/>
          <w:b/>
          <w:bCs/>
          <w:iCs/>
          <w:color w:val="000000"/>
          <w:sz w:val="24"/>
          <w:szCs w:val="24"/>
        </w:rPr>
        <w:t>Helicobacter pylori</w:t>
      </w:r>
      <w:r w:rsidRPr="002515F0">
        <w:rPr>
          <w:rStyle w:val="apple-converted-space"/>
          <w:b/>
          <w:color w:val="000000"/>
          <w:sz w:val="24"/>
          <w:szCs w:val="24"/>
        </w:rPr>
        <w:t> </w:t>
      </w:r>
      <w:r w:rsidRPr="002515F0">
        <w:rPr>
          <w:b/>
          <w:color w:val="000000"/>
          <w:sz w:val="24"/>
          <w:szCs w:val="24"/>
        </w:rPr>
        <w:t>infection and to stop them coming back:</w:t>
      </w:r>
    </w:p>
    <w:p w14:paraId="731EFD32" w14:textId="77777777" w:rsidR="002E2798" w:rsidRPr="002E2798" w:rsidRDefault="002E2798" w:rsidP="00CA0921">
      <w:pPr>
        <w:numPr>
          <w:ilvl w:val="0"/>
          <w:numId w:val="43"/>
        </w:numPr>
        <w:shd w:val="clear" w:color="auto" w:fill="FFFFFF"/>
        <w:spacing w:line="360" w:lineRule="auto"/>
        <w:ind w:left="720" w:hanging="180"/>
        <w:jc w:val="both"/>
        <w:rPr>
          <w:color w:val="000000"/>
          <w:sz w:val="24"/>
          <w:szCs w:val="24"/>
        </w:rPr>
      </w:pPr>
      <w:r w:rsidRPr="002A0A16">
        <w:rPr>
          <w:color w:val="000000"/>
          <w:sz w:val="24"/>
          <w:szCs w:val="24"/>
        </w:rPr>
        <w:t>Children aged over 4 years may take Omeprazole. The dose for children is based      on the child's weight and the doctor will decide the correct dose.</w:t>
      </w:r>
    </w:p>
    <w:p w14:paraId="06E4565D" w14:textId="77777777" w:rsidR="00E61612" w:rsidRDefault="00E61612" w:rsidP="00CA0921">
      <w:pPr>
        <w:adjustRightInd w:val="0"/>
        <w:spacing w:line="360" w:lineRule="auto"/>
        <w:jc w:val="both"/>
        <w:rPr>
          <w:b/>
          <w:sz w:val="24"/>
          <w:szCs w:val="24"/>
        </w:rPr>
      </w:pPr>
      <w:r w:rsidRPr="00CA0921">
        <w:rPr>
          <w:b/>
          <w:sz w:val="24"/>
          <w:szCs w:val="24"/>
        </w:rPr>
        <w:t>4.3. Contraindications:</w:t>
      </w:r>
    </w:p>
    <w:p w14:paraId="00D1D02E" w14:textId="77777777" w:rsidR="002E2798" w:rsidRPr="009F4DB4" w:rsidRDefault="002E2798" w:rsidP="002E2798">
      <w:pPr>
        <w:shd w:val="clear" w:color="auto" w:fill="FFFFFF"/>
        <w:spacing w:line="360" w:lineRule="auto"/>
        <w:jc w:val="both"/>
        <w:rPr>
          <w:sz w:val="24"/>
          <w:szCs w:val="17"/>
        </w:rPr>
      </w:pPr>
      <w:r w:rsidRPr="009F4DB4">
        <w:rPr>
          <w:sz w:val="24"/>
          <w:szCs w:val="17"/>
        </w:rPr>
        <w:t>Omeprazole is contraindicated in patients with hypersensitivity to Omeprazole.</w:t>
      </w:r>
    </w:p>
    <w:p w14:paraId="0C2C3680" w14:textId="77777777" w:rsidR="002E2798" w:rsidRPr="002C3891" w:rsidRDefault="002E2798" w:rsidP="002C3891">
      <w:pPr>
        <w:shd w:val="clear" w:color="auto" w:fill="FFFFFF"/>
        <w:spacing w:line="360" w:lineRule="auto"/>
        <w:jc w:val="both"/>
        <w:rPr>
          <w:sz w:val="24"/>
          <w:szCs w:val="17"/>
        </w:rPr>
      </w:pPr>
      <w:r w:rsidRPr="009F4DB4">
        <w:rPr>
          <w:sz w:val="24"/>
          <w:szCs w:val="17"/>
        </w:rPr>
        <w:t>Omeprazole like other proton pump inhibitors should not be</w:t>
      </w:r>
      <w:r w:rsidR="002C3891">
        <w:rPr>
          <w:sz w:val="24"/>
          <w:szCs w:val="17"/>
        </w:rPr>
        <w:t xml:space="preserve"> administered with Atazanavir.</w:t>
      </w:r>
    </w:p>
    <w:p w14:paraId="17339269" w14:textId="77777777" w:rsidR="00E61612" w:rsidRDefault="00E61612" w:rsidP="00CA0921">
      <w:pPr>
        <w:tabs>
          <w:tab w:val="left" w:pos="6033"/>
        </w:tabs>
        <w:spacing w:line="360" w:lineRule="auto"/>
        <w:jc w:val="both"/>
        <w:rPr>
          <w:b/>
          <w:sz w:val="24"/>
          <w:szCs w:val="24"/>
        </w:rPr>
      </w:pPr>
      <w:r w:rsidRPr="00CA0921">
        <w:rPr>
          <w:b/>
          <w:sz w:val="24"/>
          <w:szCs w:val="24"/>
        </w:rPr>
        <w:t>4.4. Special warnings and precautions for use:</w:t>
      </w:r>
    </w:p>
    <w:p w14:paraId="3084972E" w14:textId="77777777" w:rsidR="002C3891" w:rsidRPr="005A444F" w:rsidRDefault="002C3891" w:rsidP="002C3891">
      <w:pPr>
        <w:shd w:val="clear" w:color="auto" w:fill="FFFFFF"/>
        <w:spacing w:line="360" w:lineRule="auto"/>
        <w:jc w:val="both"/>
        <w:rPr>
          <w:color w:val="000000"/>
          <w:sz w:val="24"/>
          <w:szCs w:val="24"/>
        </w:rPr>
      </w:pPr>
      <w:r w:rsidRPr="005A444F">
        <w:rPr>
          <w:color w:val="000000"/>
          <w:sz w:val="24"/>
          <w:szCs w:val="24"/>
        </w:rPr>
        <w:t xml:space="preserve">In the presence of any alarm symptom (e.g. significant unintentional weight loss, recurrent vomiting, dysphagia, </w:t>
      </w:r>
      <w:proofErr w:type="spellStart"/>
      <w:r w:rsidRPr="005A444F">
        <w:rPr>
          <w:color w:val="000000"/>
          <w:sz w:val="24"/>
          <w:szCs w:val="24"/>
        </w:rPr>
        <w:t>haematemesis</w:t>
      </w:r>
      <w:proofErr w:type="spellEnd"/>
      <w:r w:rsidRPr="005A444F">
        <w:rPr>
          <w:color w:val="000000"/>
          <w:sz w:val="24"/>
          <w:szCs w:val="24"/>
        </w:rPr>
        <w:t xml:space="preserve"> or melena) and when gastric ulcer is suspected or present, malignancy should be excluded, as treatment may alleviate symptoms and delay diagnosis.</w:t>
      </w:r>
    </w:p>
    <w:p w14:paraId="69A8976A" w14:textId="77777777" w:rsidR="002C3891" w:rsidRPr="005A444F" w:rsidRDefault="002C3891" w:rsidP="002C3891">
      <w:pPr>
        <w:shd w:val="clear" w:color="auto" w:fill="FFFFFF"/>
        <w:spacing w:line="360" w:lineRule="auto"/>
        <w:jc w:val="both"/>
        <w:rPr>
          <w:color w:val="000000"/>
          <w:sz w:val="24"/>
          <w:szCs w:val="24"/>
        </w:rPr>
      </w:pPr>
      <w:r w:rsidRPr="005A444F">
        <w:rPr>
          <w:color w:val="000000"/>
          <w:sz w:val="24"/>
          <w:szCs w:val="24"/>
        </w:rPr>
        <w:t>Co-administration of atazanavir with proton pump inhibitors is not recommended. If the combination of atazanavir with a proton pump inhibitor is judged unavoidable, close clinical monitoring (e.g virus load) is recommended in combination with an increase in the dose of atazanavir to 400 mg with 100 mg of ritonavir; omeprazole 20 mg should not be exceeded.</w:t>
      </w:r>
    </w:p>
    <w:p w14:paraId="03C59B96" w14:textId="77777777" w:rsidR="002C3891" w:rsidRPr="005A444F" w:rsidRDefault="002C3891" w:rsidP="002C3891">
      <w:pPr>
        <w:shd w:val="clear" w:color="auto" w:fill="FFFFFF"/>
        <w:spacing w:line="360" w:lineRule="auto"/>
        <w:jc w:val="both"/>
        <w:rPr>
          <w:color w:val="000000"/>
          <w:sz w:val="24"/>
          <w:szCs w:val="24"/>
        </w:rPr>
      </w:pPr>
      <w:r w:rsidRPr="005A444F">
        <w:rPr>
          <w:color w:val="000000"/>
          <w:sz w:val="24"/>
          <w:szCs w:val="24"/>
        </w:rPr>
        <w:t>Omeprazole, as all acid-blocking medicines, may reduce the absorption of vitamin B12 (cyanocobalamin) due to hypo- or achlorhydria. This should be considered in patients with reduced body stores or risk factors for reduced vitamin B12 absorption on long-term therapy.</w:t>
      </w:r>
    </w:p>
    <w:p w14:paraId="4EEE6BA9" w14:textId="77777777" w:rsidR="002C3891" w:rsidRPr="005A444F" w:rsidRDefault="002C3891" w:rsidP="002C3891">
      <w:pPr>
        <w:shd w:val="clear" w:color="auto" w:fill="FFFFFF"/>
        <w:spacing w:line="360" w:lineRule="auto"/>
        <w:jc w:val="both"/>
        <w:rPr>
          <w:color w:val="000000"/>
          <w:sz w:val="24"/>
          <w:szCs w:val="24"/>
        </w:rPr>
      </w:pPr>
      <w:r w:rsidRPr="005A444F">
        <w:rPr>
          <w:color w:val="000000"/>
          <w:sz w:val="24"/>
          <w:szCs w:val="24"/>
        </w:rPr>
        <w:t xml:space="preserve">Omeprazole is a CYP2C19 inhibitor. When starting or ending treatment with omeprazole, the potential for interactions with drugs metabolised through CYP2C19 should be considered. An </w:t>
      </w:r>
      <w:r w:rsidRPr="005A444F">
        <w:rPr>
          <w:color w:val="000000"/>
          <w:sz w:val="24"/>
          <w:szCs w:val="24"/>
        </w:rPr>
        <w:lastRenderedPageBreak/>
        <w:t>interaction is observed bet</w:t>
      </w:r>
      <w:r>
        <w:rPr>
          <w:color w:val="000000"/>
          <w:sz w:val="24"/>
          <w:szCs w:val="24"/>
        </w:rPr>
        <w:t>ween clopidogrel and omeprazole</w:t>
      </w:r>
      <w:r w:rsidRPr="005A444F">
        <w:rPr>
          <w:color w:val="000000"/>
          <w:sz w:val="24"/>
          <w:szCs w:val="24"/>
        </w:rPr>
        <w:t>. The clinical relevance of this interaction is uncertain. As a precaution, concomitant use of omeprazole and clopidogrel should be discouraged.</w:t>
      </w:r>
    </w:p>
    <w:p w14:paraId="2BA505A4" w14:textId="77777777" w:rsidR="002C3891" w:rsidRPr="005A444F" w:rsidRDefault="002C3891" w:rsidP="002C3891">
      <w:pPr>
        <w:shd w:val="clear" w:color="auto" w:fill="FFFFFF"/>
        <w:spacing w:line="360" w:lineRule="auto"/>
        <w:jc w:val="both"/>
        <w:rPr>
          <w:color w:val="000000"/>
          <w:sz w:val="24"/>
          <w:szCs w:val="24"/>
        </w:rPr>
      </w:pPr>
      <w:r w:rsidRPr="005A444F">
        <w:rPr>
          <w:color w:val="000000"/>
          <w:sz w:val="24"/>
          <w:szCs w:val="24"/>
        </w:rPr>
        <w:t>Some children with chronic illnesses may require long-term treatment although it is not recommended.</w:t>
      </w:r>
    </w:p>
    <w:p w14:paraId="74D636D9" w14:textId="77777777" w:rsidR="002C3891" w:rsidRPr="005A444F" w:rsidRDefault="002C3891" w:rsidP="002C3891">
      <w:pPr>
        <w:shd w:val="clear" w:color="auto" w:fill="FFFFFF"/>
        <w:spacing w:line="360" w:lineRule="auto"/>
        <w:jc w:val="both"/>
        <w:rPr>
          <w:color w:val="000000"/>
          <w:sz w:val="24"/>
          <w:szCs w:val="24"/>
        </w:rPr>
      </w:pPr>
      <w:r w:rsidRPr="005A444F">
        <w:rPr>
          <w:color w:val="000000"/>
          <w:sz w:val="24"/>
          <w:szCs w:val="24"/>
        </w:rPr>
        <w:t>Hypomagnesaemia</w:t>
      </w:r>
    </w:p>
    <w:p w14:paraId="59030D9B" w14:textId="77777777" w:rsidR="002C3891" w:rsidRPr="005A444F" w:rsidRDefault="002C3891" w:rsidP="002C3891">
      <w:pPr>
        <w:shd w:val="clear" w:color="auto" w:fill="FFFFFF"/>
        <w:spacing w:line="360" w:lineRule="auto"/>
        <w:jc w:val="both"/>
        <w:rPr>
          <w:color w:val="000000"/>
          <w:sz w:val="24"/>
          <w:szCs w:val="24"/>
        </w:rPr>
      </w:pPr>
      <w:r w:rsidRPr="005A444F">
        <w:rPr>
          <w:color w:val="000000"/>
          <w:sz w:val="24"/>
          <w:szCs w:val="24"/>
        </w:rPr>
        <w:t>Severe hypomagnesaemia has been reported in patients treated with PPIs like omeprazole for at least three months, and in most cases for a year. Serious manifestations of hypomagnesaemia such as fatigue, tetany, delirium, convulsions, dizziness and ventricular arrhythmia can occur but they may begin insidiously and be overlooked. In most affected patients, hypomagnesaemia improved after magnesium replacement and discontinuation of the PPI.</w:t>
      </w:r>
    </w:p>
    <w:p w14:paraId="652DC700" w14:textId="77777777" w:rsidR="002C3891" w:rsidRPr="005A444F" w:rsidRDefault="002C3891" w:rsidP="002C3891">
      <w:pPr>
        <w:shd w:val="clear" w:color="auto" w:fill="FFFFFF"/>
        <w:spacing w:line="360" w:lineRule="auto"/>
        <w:jc w:val="both"/>
        <w:rPr>
          <w:color w:val="000000"/>
          <w:sz w:val="24"/>
          <w:szCs w:val="24"/>
        </w:rPr>
      </w:pPr>
      <w:r w:rsidRPr="005A444F">
        <w:rPr>
          <w:color w:val="000000"/>
          <w:sz w:val="24"/>
          <w:szCs w:val="24"/>
        </w:rPr>
        <w:t>For patients expected to be on prolonged treatment or who take PPIs with digoxin or drugs that may cause hypomagnesaemia (e.g., diuretics), health care professionals should consider measuring magnesium levels before starting PPI treatment and periodically during treatment.</w:t>
      </w:r>
    </w:p>
    <w:p w14:paraId="28384715" w14:textId="77777777" w:rsidR="002C3891" w:rsidRDefault="002C3891" w:rsidP="002C3891">
      <w:pPr>
        <w:adjustRightInd w:val="0"/>
        <w:spacing w:line="360" w:lineRule="auto"/>
        <w:jc w:val="both"/>
        <w:rPr>
          <w:color w:val="000000"/>
          <w:sz w:val="24"/>
          <w:szCs w:val="24"/>
        </w:rPr>
      </w:pPr>
      <w:r w:rsidRPr="005A444F">
        <w:rPr>
          <w:color w:val="000000"/>
          <w:sz w:val="24"/>
          <w:szCs w:val="24"/>
        </w:rPr>
        <w:t>Proton pump inhibitors, especially if used in high doses and over long durations (&gt;1 year), may modestly increase the risk of hip, wrist and spine fracture, predominantly in the elderly or in presence of other recognized risk factors. Observational studies suggest that proton pump inhibitors may increase the overall risk of fracture by 10–40%. Some of this increase may be due to other risk factors. Patients at risk of osteoporosis should receive care according to current clinical guidelines and they should have an adequate intake of vitamin D and calcium.</w:t>
      </w:r>
    </w:p>
    <w:p w14:paraId="120BC2AE" w14:textId="77777777" w:rsidR="002C3891" w:rsidRPr="00A3157A" w:rsidRDefault="002C3891" w:rsidP="002C3891">
      <w:pPr>
        <w:shd w:val="clear" w:color="auto" w:fill="FFFFFF"/>
        <w:spacing w:line="360" w:lineRule="auto"/>
        <w:jc w:val="both"/>
        <w:rPr>
          <w:color w:val="000000"/>
          <w:sz w:val="24"/>
          <w:szCs w:val="24"/>
        </w:rPr>
      </w:pPr>
      <w:r w:rsidRPr="005A444F">
        <w:rPr>
          <w:color w:val="000000"/>
          <w:sz w:val="24"/>
          <w:szCs w:val="24"/>
        </w:rPr>
        <w:t xml:space="preserve">Omeprazole capsules contain sucrose. Patients with rare hereditary problems of fructose intolerance, </w:t>
      </w:r>
      <w:r w:rsidRPr="00A3157A">
        <w:rPr>
          <w:color w:val="000000"/>
          <w:sz w:val="24"/>
          <w:szCs w:val="24"/>
        </w:rPr>
        <w:t>glucose-galactose malabsorption or sucrase-isomaltase insufficiency should not take this medicine.</w:t>
      </w:r>
    </w:p>
    <w:p w14:paraId="68383CB7" w14:textId="77777777" w:rsidR="002C3891" w:rsidRPr="00A3157A" w:rsidRDefault="002C3891" w:rsidP="002C3891">
      <w:pPr>
        <w:shd w:val="clear" w:color="auto" w:fill="FFFFFF"/>
        <w:spacing w:line="360" w:lineRule="auto"/>
        <w:jc w:val="both"/>
        <w:rPr>
          <w:color w:val="000000"/>
          <w:sz w:val="24"/>
          <w:szCs w:val="24"/>
        </w:rPr>
      </w:pPr>
      <w:r w:rsidRPr="00A3157A">
        <w:rPr>
          <w:color w:val="000000"/>
          <w:sz w:val="24"/>
          <w:szCs w:val="24"/>
        </w:rPr>
        <w:t xml:space="preserve">Treatment with proton pump inhibitors may lead to slightly increased risk of gastrointestinal infections such as </w:t>
      </w:r>
      <w:r w:rsidRPr="00A3157A">
        <w:rPr>
          <w:iCs/>
          <w:color w:val="000000"/>
          <w:sz w:val="24"/>
          <w:szCs w:val="24"/>
        </w:rPr>
        <w:t>Salmonella </w:t>
      </w:r>
      <w:r w:rsidRPr="00A3157A">
        <w:rPr>
          <w:color w:val="000000"/>
          <w:sz w:val="24"/>
          <w:szCs w:val="24"/>
        </w:rPr>
        <w:t>and </w:t>
      </w:r>
      <w:r w:rsidRPr="00A3157A">
        <w:rPr>
          <w:iCs/>
          <w:color w:val="000000"/>
          <w:sz w:val="24"/>
          <w:szCs w:val="24"/>
        </w:rPr>
        <w:t>Campylobacter</w:t>
      </w:r>
      <w:r w:rsidRPr="00A3157A">
        <w:rPr>
          <w:color w:val="000000"/>
          <w:sz w:val="24"/>
          <w:szCs w:val="24"/>
        </w:rPr>
        <w:t>.</w:t>
      </w:r>
    </w:p>
    <w:p w14:paraId="507E1877" w14:textId="77777777" w:rsidR="002C3891" w:rsidRPr="00A3157A" w:rsidRDefault="002C3891" w:rsidP="002C3891">
      <w:pPr>
        <w:shd w:val="clear" w:color="auto" w:fill="FFFFFF"/>
        <w:spacing w:line="360" w:lineRule="auto"/>
        <w:jc w:val="both"/>
        <w:rPr>
          <w:color w:val="000000"/>
          <w:sz w:val="24"/>
          <w:szCs w:val="24"/>
        </w:rPr>
      </w:pPr>
      <w:r w:rsidRPr="00A3157A">
        <w:rPr>
          <w:color w:val="000000"/>
          <w:sz w:val="24"/>
          <w:szCs w:val="24"/>
        </w:rPr>
        <w:t>As in all long-term treatments, especially when exceeding a treatment period of 1 year, patients should be kept under regular surveillance.</w:t>
      </w:r>
    </w:p>
    <w:p w14:paraId="107D5ADC" w14:textId="77777777" w:rsidR="00E61612" w:rsidRDefault="00E61612" w:rsidP="00CA0921">
      <w:pPr>
        <w:tabs>
          <w:tab w:val="left" w:pos="6033"/>
        </w:tabs>
        <w:spacing w:line="360" w:lineRule="auto"/>
        <w:jc w:val="both"/>
        <w:rPr>
          <w:b/>
          <w:sz w:val="24"/>
          <w:szCs w:val="24"/>
        </w:rPr>
      </w:pPr>
      <w:r w:rsidRPr="00CA0921">
        <w:rPr>
          <w:b/>
          <w:sz w:val="24"/>
          <w:szCs w:val="24"/>
        </w:rPr>
        <w:t>4.5. Interaction with other medicinal products and other forms of interaction:</w:t>
      </w:r>
    </w:p>
    <w:p w14:paraId="3413644B" w14:textId="77777777" w:rsidR="002C3891" w:rsidRPr="00DC1D9F" w:rsidRDefault="002C3891" w:rsidP="002C3891">
      <w:pPr>
        <w:spacing w:line="360" w:lineRule="auto"/>
        <w:jc w:val="both"/>
        <w:rPr>
          <w:sz w:val="24"/>
          <w:szCs w:val="24"/>
        </w:rPr>
      </w:pPr>
      <w:r w:rsidRPr="00DC1D9F">
        <w:rPr>
          <w:sz w:val="24"/>
          <w:szCs w:val="24"/>
        </w:rPr>
        <w:lastRenderedPageBreak/>
        <w:t>As Omeprazole is metabolised in the liver through cytochrome P450 isoforms (mainly CYP 2C19, S-mephenytoin hydroxylase) and inhibits enzymes of the CYP2C subfamily (CYP 2C19 and CYP 2C9) it can delay the elimination of other active substances metabolised by these enzymes. This has been observed for diazepam (and also of other benzodiazepines as triazolam or flurazepam), phenytoin and warfarin.</w:t>
      </w:r>
    </w:p>
    <w:p w14:paraId="66FB57D4" w14:textId="77777777" w:rsidR="002C3891" w:rsidRPr="00DC1D9F" w:rsidRDefault="002C3891" w:rsidP="002C3891">
      <w:pPr>
        <w:spacing w:line="360" w:lineRule="auto"/>
        <w:jc w:val="both"/>
        <w:rPr>
          <w:sz w:val="24"/>
          <w:szCs w:val="24"/>
        </w:rPr>
      </w:pPr>
      <w:r w:rsidRPr="00DC1D9F">
        <w:rPr>
          <w:sz w:val="24"/>
          <w:szCs w:val="24"/>
        </w:rPr>
        <w:t>In patients under continuous treatment with phenytoin, the concomitant treatment with 20 mg daily of Omeprazole orally did not modify the phenytoin plasma concentration. In the same way, the concomitant treatment with 20 mg daily of Omeprazole orally did not cause a modification in the coagulation time in patients under continuous treatment with warfarin. Periodic monitoring of patients receiving warfarin or phenytoin is recommended and a reduction of warfarin or phenytoin dose may be necessary.</w:t>
      </w:r>
    </w:p>
    <w:p w14:paraId="53653DE6" w14:textId="77777777" w:rsidR="002C3891" w:rsidRPr="00DC1D9F" w:rsidRDefault="002C3891" w:rsidP="002C3891">
      <w:pPr>
        <w:spacing w:line="360" w:lineRule="auto"/>
        <w:jc w:val="both"/>
        <w:rPr>
          <w:sz w:val="24"/>
          <w:szCs w:val="24"/>
        </w:rPr>
      </w:pPr>
      <w:r w:rsidRPr="00DC1D9F">
        <w:rPr>
          <w:sz w:val="24"/>
          <w:szCs w:val="24"/>
        </w:rPr>
        <w:t xml:space="preserve">Other active substances that could be affected are </w:t>
      </w:r>
      <w:proofErr w:type="spellStart"/>
      <w:r w:rsidRPr="00DC1D9F">
        <w:rPr>
          <w:sz w:val="24"/>
          <w:szCs w:val="24"/>
        </w:rPr>
        <w:t>hexabarbital</w:t>
      </w:r>
      <w:proofErr w:type="spellEnd"/>
      <w:r w:rsidRPr="00DC1D9F">
        <w:rPr>
          <w:sz w:val="24"/>
          <w:szCs w:val="24"/>
        </w:rPr>
        <w:t>, citalopram, imipramine, clomipramine etc.</w:t>
      </w:r>
    </w:p>
    <w:p w14:paraId="6E04913F" w14:textId="77777777" w:rsidR="002C3891" w:rsidRPr="00DC1D9F" w:rsidRDefault="002C3891" w:rsidP="002C3891">
      <w:pPr>
        <w:spacing w:line="360" w:lineRule="auto"/>
        <w:jc w:val="both"/>
        <w:rPr>
          <w:sz w:val="24"/>
          <w:szCs w:val="24"/>
        </w:rPr>
      </w:pPr>
      <w:r w:rsidRPr="00DC1D9F">
        <w:rPr>
          <w:sz w:val="24"/>
          <w:szCs w:val="24"/>
        </w:rPr>
        <w:t>Omeprazole may inhibit the hepatic metabolism of disulfiram. After concomitant oral use, some possibly related cases of muscular rigidity have been reported.</w:t>
      </w:r>
    </w:p>
    <w:p w14:paraId="4044FEEB" w14:textId="77777777" w:rsidR="002C3891" w:rsidRPr="00DC1D9F" w:rsidRDefault="002C3891" w:rsidP="002C3891">
      <w:pPr>
        <w:spacing w:line="360" w:lineRule="auto"/>
        <w:jc w:val="both"/>
        <w:rPr>
          <w:sz w:val="24"/>
          <w:szCs w:val="24"/>
        </w:rPr>
      </w:pPr>
      <w:r w:rsidRPr="00DC1D9F">
        <w:rPr>
          <w:sz w:val="24"/>
          <w:szCs w:val="24"/>
        </w:rPr>
        <w:t xml:space="preserve">There are </w:t>
      </w:r>
      <w:proofErr w:type="spellStart"/>
      <w:r w:rsidRPr="00DC1D9F">
        <w:rPr>
          <w:sz w:val="24"/>
          <w:szCs w:val="24"/>
        </w:rPr>
        <w:t>contradictionary</w:t>
      </w:r>
      <w:proofErr w:type="spellEnd"/>
      <w:r w:rsidRPr="00DC1D9F">
        <w:rPr>
          <w:sz w:val="24"/>
          <w:szCs w:val="24"/>
        </w:rPr>
        <w:t xml:space="preserve"> data on the interaction of orally administered Omeprazole with ciclosporin. Therefore, the plasma levels of ciclosporin should be monitored in those patients treated with Omeprazole, because an increase in ciclosporin levels is possible.</w:t>
      </w:r>
    </w:p>
    <w:p w14:paraId="31F45FE7" w14:textId="77777777" w:rsidR="002C3891" w:rsidRPr="00DC1D9F" w:rsidRDefault="002C3891" w:rsidP="002C3891">
      <w:pPr>
        <w:spacing w:line="360" w:lineRule="auto"/>
        <w:jc w:val="both"/>
        <w:rPr>
          <w:sz w:val="24"/>
          <w:szCs w:val="24"/>
        </w:rPr>
      </w:pPr>
      <w:r w:rsidRPr="00DC1D9F">
        <w:rPr>
          <w:sz w:val="24"/>
          <w:szCs w:val="24"/>
        </w:rPr>
        <w:t>Plasma concentrations of Omeprazole and clarithromycin are increased during concomitant oral administration. Although, there is no interaction with metronidazole or amoxicillin, these antimicrobial agents are used concomitantly with Omeprazole in order to eradicate Helicobacter pylori.</w:t>
      </w:r>
    </w:p>
    <w:p w14:paraId="070FF54B" w14:textId="77777777" w:rsidR="002C3891" w:rsidRPr="00DC1D9F" w:rsidRDefault="002C3891" w:rsidP="002C3891">
      <w:pPr>
        <w:spacing w:line="360" w:lineRule="auto"/>
        <w:jc w:val="both"/>
        <w:rPr>
          <w:sz w:val="24"/>
          <w:szCs w:val="24"/>
        </w:rPr>
      </w:pPr>
      <w:r w:rsidRPr="00DC1D9F">
        <w:rPr>
          <w:sz w:val="24"/>
          <w:szCs w:val="24"/>
        </w:rPr>
        <w:t>Due to the decreased intragastric acidity, the absorption of ketoconazole or itraconazole may be reduced during Omeprazole treatment as it is with other acid secretion inhibitors and antacids.</w:t>
      </w:r>
    </w:p>
    <w:p w14:paraId="0A41DF98" w14:textId="77777777" w:rsidR="002C3891" w:rsidRPr="00DC1D9F" w:rsidRDefault="002C3891" w:rsidP="002C3891">
      <w:pPr>
        <w:spacing w:line="360" w:lineRule="auto"/>
        <w:jc w:val="both"/>
        <w:rPr>
          <w:sz w:val="24"/>
          <w:szCs w:val="24"/>
        </w:rPr>
      </w:pPr>
      <w:r w:rsidRPr="00DC1D9F">
        <w:rPr>
          <w:sz w:val="24"/>
          <w:szCs w:val="24"/>
        </w:rPr>
        <w:t>Simultaneous treatment with Omeprazole and digoxin in healthy subjects lead to a 10 % increase in the bioavailability of digoxin as a consequence of the increased gastric pH.</w:t>
      </w:r>
    </w:p>
    <w:p w14:paraId="1C2B772E" w14:textId="77777777" w:rsidR="002C3891" w:rsidRPr="00DC1D9F" w:rsidRDefault="002C3891" w:rsidP="002C3891">
      <w:pPr>
        <w:spacing w:line="360" w:lineRule="auto"/>
        <w:jc w:val="both"/>
        <w:rPr>
          <w:sz w:val="24"/>
          <w:szCs w:val="24"/>
        </w:rPr>
      </w:pPr>
      <w:r w:rsidRPr="00DC1D9F">
        <w:rPr>
          <w:sz w:val="24"/>
          <w:szCs w:val="24"/>
        </w:rPr>
        <w:t>Omeprazole may reduce the oral absorption of vitamin B12. This should be taken into account in those patients with low basal levels who undergo a long-term treatment with Omeprazole.</w:t>
      </w:r>
    </w:p>
    <w:p w14:paraId="4A87D296" w14:textId="77777777" w:rsidR="002C3891" w:rsidRPr="00DC1D9F" w:rsidRDefault="002C3891" w:rsidP="002C3891">
      <w:pPr>
        <w:spacing w:line="360" w:lineRule="auto"/>
        <w:jc w:val="both"/>
        <w:rPr>
          <w:sz w:val="24"/>
          <w:szCs w:val="24"/>
        </w:rPr>
      </w:pPr>
      <w:r w:rsidRPr="00DC1D9F">
        <w:rPr>
          <w:sz w:val="24"/>
          <w:szCs w:val="24"/>
        </w:rPr>
        <w:lastRenderedPageBreak/>
        <w:t>Because of potential clinically significant interaction St. John's wort should not be used concomitantly with Omeprazole.</w:t>
      </w:r>
    </w:p>
    <w:p w14:paraId="57A6AB25" w14:textId="77777777" w:rsidR="002C3891" w:rsidRPr="00DF6809" w:rsidRDefault="002C3891" w:rsidP="00DF6809">
      <w:pPr>
        <w:spacing w:line="360" w:lineRule="auto"/>
        <w:jc w:val="both"/>
        <w:rPr>
          <w:sz w:val="24"/>
          <w:szCs w:val="24"/>
        </w:rPr>
      </w:pPr>
      <w:r w:rsidRPr="00DC1D9F">
        <w:rPr>
          <w:sz w:val="24"/>
          <w:szCs w:val="24"/>
        </w:rPr>
        <w:t>There is no evidence of an interaction with caffeine, propranolol, theophylline, metoprolol, lidocaine, quinidine, phenacetin, estradiol, amoxicillin, budesonide, diclofenac, metronidazole, naproxen, piroxicam, or antacids w</w:t>
      </w:r>
      <w:r w:rsidR="00DF6809">
        <w:rPr>
          <w:sz w:val="24"/>
          <w:szCs w:val="24"/>
        </w:rPr>
        <w:t>hen Omeprazole is given orally.</w:t>
      </w:r>
    </w:p>
    <w:p w14:paraId="30007E70" w14:textId="77777777" w:rsidR="00E61612" w:rsidRDefault="00E61612" w:rsidP="00CA0921">
      <w:pPr>
        <w:adjustRightInd w:val="0"/>
        <w:spacing w:line="360" w:lineRule="auto"/>
        <w:jc w:val="both"/>
        <w:rPr>
          <w:b/>
          <w:sz w:val="24"/>
          <w:szCs w:val="24"/>
        </w:rPr>
      </w:pPr>
      <w:r w:rsidRPr="00CA0921">
        <w:rPr>
          <w:b/>
          <w:sz w:val="24"/>
          <w:szCs w:val="24"/>
        </w:rPr>
        <w:t>4.6.   Pregnancy and lactation:</w:t>
      </w:r>
    </w:p>
    <w:p w14:paraId="1DFF59EB" w14:textId="77777777" w:rsidR="00DF6809" w:rsidRPr="009C0F88" w:rsidRDefault="00DF6809" w:rsidP="00DF6809">
      <w:pPr>
        <w:spacing w:line="360" w:lineRule="auto"/>
        <w:jc w:val="both"/>
        <w:rPr>
          <w:sz w:val="24"/>
        </w:rPr>
      </w:pPr>
      <w:r w:rsidRPr="009C0F88">
        <w:rPr>
          <w:sz w:val="24"/>
        </w:rPr>
        <w:t>There is limited experience on the use of Omeprazole in pregnant women. Experience to date indicates no increased risk of congenital malformations or other adverse effects of Omeprazole on pregnancy or the unborn child. Animal studies do not indicate direct or indirect harmful effects with respect to reproduction.</w:t>
      </w:r>
    </w:p>
    <w:p w14:paraId="68294DEE" w14:textId="77777777" w:rsidR="00DF6809" w:rsidRPr="009C0F88" w:rsidRDefault="00DF6809" w:rsidP="00DF6809">
      <w:pPr>
        <w:spacing w:line="360" w:lineRule="auto"/>
        <w:jc w:val="both"/>
        <w:rPr>
          <w:sz w:val="24"/>
        </w:rPr>
      </w:pPr>
      <w:r w:rsidRPr="009C0F88">
        <w:rPr>
          <w:sz w:val="24"/>
        </w:rPr>
        <w:t>Omeprazole Injection should only be prescribed during pregnancy when strictly indicated.</w:t>
      </w:r>
    </w:p>
    <w:p w14:paraId="139FA132" w14:textId="77777777" w:rsidR="00DF6809" w:rsidRPr="00DF6809" w:rsidRDefault="00DF6809" w:rsidP="00DF6809">
      <w:pPr>
        <w:spacing w:line="360" w:lineRule="auto"/>
        <w:jc w:val="both"/>
        <w:rPr>
          <w:sz w:val="24"/>
        </w:rPr>
      </w:pPr>
      <w:r w:rsidRPr="009C0F88">
        <w:rPr>
          <w:sz w:val="24"/>
        </w:rPr>
        <w:t>Omeprazol</w:t>
      </w:r>
      <w:r>
        <w:rPr>
          <w:sz w:val="24"/>
        </w:rPr>
        <w:t xml:space="preserve">e is excreted in breast milk. A </w:t>
      </w:r>
      <w:r w:rsidRPr="009C0F88">
        <w:rPr>
          <w:sz w:val="24"/>
        </w:rPr>
        <w:t>decision on whether to continue/discontinue breast-feeding or to continue/discontinue therapy with Omeprazole Injection should be made taken into account the benefit of breast-feeding to the child and the benefit of therapy to the woman.</w:t>
      </w:r>
    </w:p>
    <w:p w14:paraId="6DF7A6B2" w14:textId="77777777" w:rsidR="00E61612" w:rsidRDefault="00E61612" w:rsidP="00CA0921">
      <w:pPr>
        <w:adjustRightInd w:val="0"/>
        <w:spacing w:line="360" w:lineRule="auto"/>
        <w:jc w:val="both"/>
        <w:rPr>
          <w:b/>
          <w:sz w:val="24"/>
          <w:szCs w:val="24"/>
        </w:rPr>
      </w:pPr>
      <w:r w:rsidRPr="00CA0921">
        <w:rPr>
          <w:b/>
          <w:sz w:val="24"/>
          <w:szCs w:val="24"/>
        </w:rPr>
        <w:t>4.7. Effects on ability to drive and use machines:</w:t>
      </w:r>
    </w:p>
    <w:p w14:paraId="50C2E8F5" w14:textId="77777777" w:rsidR="00DF6809" w:rsidRPr="00E958D1" w:rsidRDefault="00DF6809" w:rsidP="00E958D1">
      <w:pPr>
        <w:spacing w:line="360" w:lineRule="auto"/>
        <w:jc w:val="both"/>
        <w:rPr>
          <w:sz w:val="24"/>
        </w:rPr>
      </w:pPr>
      <w:r w:rsidRPr="00E56325">
        <w:rPr>
          <w:sz w:val="24"/>
        </w:rPr>
        <w:t xml:space="preserve">No studies on the ability to drive and use machines have been performed. </w:t>
      </w:r>
    </w:p>
    <w:p w14:paraId="606FE73A" w14:textId="77777777" w:rsidR="00E61612" w:rsidRDefault="00E61612" w:rsidP="00CA0921">
      <w:pPr>
        <w:adjustRightInd w:val="0"/>
        <w:spacing w:line="360" w:lineRule="auto"/>
        <w:jc w:val="both"/>
        <w:rPr>
          <w:b/>
          <w:sz w:val="24"/>
          <w:szCs w:val="24"/>
        </w:rPr>
      </w:pPr>
      <w:r w:rsidRPr="00CA0921">
        <w:rPr>
          <w:b/>
          <w:sz w:val="24"/>
          <w:szCs w:val="24"/>
        </w:rPr>
        <w:t>4.8.   Undesirable effects:</w:t>
      </w:r>
    </w:p>
    <w:tbl>
      <w:tblPr>
        <w:tblW w:w="5000" w:type="pct"/>
        <w:shd w:val="clear" w:color="auto" w:fill="FFFFFF"/>
        <w:tblCellMar>
          <w:left w:w="0" w:type="dxa"/>
          <w:right w:w="0" w:type="dxa"/>
        </w:tblCellMar>
        <w:tblLook w:val="04A0" w:firstRow="1" w:lastRow="0" w:firstColumn="1" w:lastColumn="0" w:noHBand="0" w:noVBand="1"/>
      </w:tblPr>
      <w:tblGrid>
        <w:gridCol w:w="2480"/>
        <w:gridCol w:w="6546"/>
      </w:tblGrid>
      <w:tr w:rsidR="00E958D1" w:rsidRPr="00E56325" w14:paraId="4FA88316" w14:textId="77777777" w:rsidTr="008F652C">
        <w:tc>
          <w:tcPr>
            <w:tcW w:w="1374" w:type="pct"/>
            <w:shd w:val="clear" w:color="auto" w:fill="FFFFFF"/>
            <w:hideMark/>
          </w:tcPr>
          <w:p w14:paraId="40068F4F" w14:textId="77777777" w:rsidR="00E958D1" w:rsidRPr="00E56325" w:rsidRDefault="00E958D1" w:rsidP="004A2B5F">
            <w:pPr>
              <w:ind w:left="185"/>
              <w:rPr>
                <w:sz w:val="24"/>
              </w:rPr>
            </w:pPr>
            <w:r w:rsidRPr="00AA3CF4">
              <w:rPr>
                <w:b/>
                <w:sz w:val="24"/>
              </w:rPr>
              <w:t>Blood and the lymphatic system</w:t>
            </w:r>
            <w:r w:rsidRPr="00E56325">
              <w:rPr>
                <w:sz w:val="24"/>
              </w:rPr>
              <w:t xml:space="preserve"> </w:t>
            </w:r>
            <w:r w:rsidRPr="00AA3CF4">
              <w:rPr>
                <w:b/>
                <w:sz w:val="24"/>
              </w:rPr>
              <w:t>disorders</w:t>
            </w:r>
          </w:p>
        </w:tc>
        <w:tc>
          <w:tcPr>
            <w:tcW w:w="3626" w:type="pct"/>
            <w:shd w:val="clear" w:color="auto" w:fill="FFFFFF"/>
            <w:hideMark/>
          </w:tcPr>
          <w:p w14:paraId="56B4B179" w14:textId="77777777" w:rsidR="00E958D1" w:rsidRPr="00E56325" w:rsidRDefault="00E958D1" w:rsidP="004A2B5F">
            <w:pPr>
              <w:ind w:left="180"/>
              <w:jc w:val="both"/>
              <w:rPr>
                <w:sz w:val="24"/>
              </w:rPr>
            </w:pPr>
            <w:r w:rsidRPr="00E56325">
              <w:rPr>
                <w:iCs/>
                <w:sz w:val="24"/>
              </w:rPr>
              <w:t>Rare:</w:t>
            </w:r>
            <w:r w:rsidRPr="00E56325">
              <w:rPr>
                <w:sz w:val="24"/>
              </w:rPr>
              <w:t> leucopenia, thrombocytopenia, agranulocytosis and pancytopenia.</w:t>
            </w:r>
          </w:p>
          <w:p w14:paraId="6D095EBF" w14:textId="77777777" w:rsidR="00E958D1" w:rsidRDefault="00E958D1" w:rsidP="004A2B5F">
            <w:pPr>
              <w:ind w:left="180"/>
              <w:jc w:val="both"/>
              <w:rPr>
                <w:sz w:val="24"/>
              </w:rPr>
            </w:pPr>
            <w:r w:rsidRPr="00E56325">
              <w:rPr>
                <w:iCs/>
                <w:sz w:val="24"/>
              </w:rPr>
              <w:t>Very rare:</w:t>
            </w:r>
            <w:r w:rsidRPr="00E56325">
              <w:rPr>
                <w:sz w:val="24"/>
              </w:rPr>
              <w:t> changes in blood count</w:t>
            </w:r>
          </w:p>
          <w:p w14:paraId="1B84C5E4" w14:textId="77777777" w:rsidR="00E958D1" w:rsidRPr="00E56325" w:rsidRDefault="00E958D1" w:rsidP="004A2B5F">
            <w:pPr>
              <w:ind w:left="180"/>
              <w:jc w:val="both"/>
              <w:rPr>
                <w:sz w:val="24"/>
              </w:rPr>
            </w:pPr>
          </w:p>
        </w:tc>
      </w:tr>
      <w:tr w:rsidR="00E958D1" w:rsidRPr="00E56325" w14:paraId="6C814783" w14:textId="77777777" w:rsidTr="008F652C">
        <w:tc>
          <w:tcPr>
            <w:tcW w:w="1374" w:type="pct"/>
            <w:shd w:val="clear" w:color="auto" w:fill="FFFFFF"/>
            <w:hideMark/>
          </w:tcPr>
          <w:p w14:paraId="0EB9B2DE" w14:textId="77777777" w:rsidR="00E958D1" w:rsidRPr="00AA3CF4" w:rsidRDefault="00E958D1" w:rsidP="004A2B5F">
            <w:pPr>
              <w:ind w:left="185"/>
              <w:rPr>
                <w:b/>
                <w:sz w:val="24"/>
              </w:rPr>
            </w:pPr>
            <w:r w:rsidRPr="00AA3CF4">
              <w:rPr>
                <w:b/>
                <w:sz w:val="24"/>
              </w:rPr>
              <w:t>Immune system disorders</w:t>
            </w:r>
          </w:p>
        </w:tc>
        <w:tc>
          <w:tcPr>
            <w:tcW w:w="3626" w:type="pct"/>
            <w:shd w:val="clear" w:color="auto" w:fill="FFFFFF"/>
            <w:hideMark/>
          </w:tcPr>
          <w:p w14:paraId="050FBA41" w14:textId="77777777" w:rsidR="00E958D1" w:rsidRPr="00E56325" w:rsidRDefault="00E958D1" w:rsidP="004A2B5F">
            <w:pPr>
              <w:ind w:left="180"/>
              <w:jc w:val="both"/>
              <w:rPr>
                <w:sz w:val="24"/>
              </w:rPr>
            </w:pPr>
            <w:r w:rsidRPr="00E56325">
              <w:rPr>
                <w:iCs/>
                <w:sz w:val="24"/>
              </w:rPr>
              <w:t>Uncommon:</w:t>
            </w:r>
            <w:r w:rsidRPr="00E56325">
              <w:rPr>
                <w:sz w:val="24"/>
              </w:rPr>
              <w:t> urticaria.</w:t>
            </w:r>
          </w:p>
          <w:p w14:paraId="47690DA7" w14:textId="77777777" w:rsidR="00E958D1" w:rsidRDefault="00E958D1" w:rsidP="004A2B5F">
            <w:pPr>
              <w:ind w:left="180"/>
              <w:jc w:val="both"/>
              <w:rPr>
                <w:sz w:val="24"/>
              </w:rPr>
            </w:pPr>
            <w:r w:rsidRPr="00E56325">
              <w:rPr>
                <w:iCs/>
                <w:sz w:val="24"/>
              </w:rPr>
              <w:t>Rare:</w:t>
            </w:r>
            <w:r w:rsidRPr="00E56325">
              <w:rPr>
                <w:sz w:val="24"/>
              </w:rPr>
              <w:t xml:space="preserve"> hypersensitivity reactions e.g. fever, angioedema, bronchospasm and </w:t>
            </w:r>
            <w:proofErr w:type="spellStart"/>
            <w:r w:rsidRPr="00E56325">
              <w:rPr>
                <w:sz w:val="24"/>
              </w:rPr>
              <w:t>anaphylatic</w:t>
            </w:r>
            <w:proofErr w:type="spellEnd"/>
            <w:r w:rsidRPr="00E56325">
              <w:rPr>
                <w:sz w:val="24"/>
              </w:rPr>
              <w:t xml:space="preserve"> shock, allergic vasculitis.</w:t>
            </w:r>
          </w:p>
          <w:p w14:paraId="243DA8CB" w14:textId="77777777" w:rsidR="00E958D1" w:rsidRPr="00E56325" w:rsidRDefault="00E958D1" w:rsidP="004A2B5F">
            <w:pPr>
              <w:ind w:left="180"/>
              <w:jc w:val="both"/>
              <w:rPr>
                <w:sz w:val="24"/>
              </w:rPr>
            </w:pPr>
          </w:p>
        </w:tc>
      </w:tr>
      <w:tr w:rsidR="00E958D1" w:rsidRPr="00E56325" w14:paraId="1F3E452A" w14:textId="77777777" w:rsidTr="008F652C">
        <w:tc>
          <w:tcPr>
            <w:tcW w:w="1374" w:type="pct"/>
            <w:shd w:val="clear" w:color="auto" w:fill="FFFFFF"/>
            <w:hideMark/>
          </w:tcPr>
          <w:p w14:paraId="36A16FA4" w14:textId="77777777" w:rsidR="00E958D1" w:rsidRPr="00AA3CF4" w:rsidRDefault="00E958D1" w:rsidP="004A2B5F">
            <w:pPr>
              <w:ind w:left="185"/>
              <w:rPr>
                <w:b/>
                <w:sz w:val="24"/>
              </w:rPr>
            </w:pPr>
            <w:r w:rsidRPr="00AA3CF4">
              <w:rPr>
                <w:b/>
                <w:sz w:val="24"/>
              </w:rPr>
              <w:t>Nervous system disorders</w:t>
            </w:r>
          </w:p>
        </w:tc>
        <w:tc>
          <w:tcPr>
            <w:tcW w:w="3626" w:type="pct"/>
            <w:shd w:val="clear" w:color="auto" w:fill="FFFFFF"/>
            <w:hideMark/>
          </w:tcPr>
          <w:p w14:paraId="6A44B494" w14:textId="77777777" w:rsidR="00E958D1" w:rsidRDefault="00E958D1" w:rsidP="004A2B5F">
            <w:pPr>
              <w:ind w:left="180"/>
              <w:jc w:val="both"/>
              <w:rPr>
                <w:sz w:val="24"/>
              </w:rPr>
            </w:pPr>
            <w:r w:rsidRPr="00E56325">
              <w:rPr>
                <w:iCs/>
                <w:sz w:val="24"/>
              </w:rPr>
              <w:t>Common:</w:t>
            </w:r>
            <w:r w:rsidRPr="00E56325">
              <w:rPr>
                <w:sz w:val="24"/>
              </w:rPr>
              <w:t> somnolence, sleep disturbances (insomnia), vertigo, headaches and drowsiness. These complaints usually improve during continued therapy.</w:t>
            </w:r>
          </w:p>
          <w:p w14:paraId="68D06EF9" w14:textId="77777777" w:rsidR="00E958D1" w:rsidRPr="00E56325" w:rsidRDefault="00E958D1" w:rsidP="004A2B5F">
            <w:pPr>
              <w:ind w:left="180"/>
              <w:jc w:val="both"/>
              <w:rPr>
                <w:sz w:val="24"/>
              </w:rPr>
            </w:pPr>
          </w:p>
        </w:tc>
      </w:tr>
      <w:tr w:rsidR="00E958D1" w:rsidRPr="00E56325" w14:paraId="2DA92A4B" w14:textId="77777777" w:rsidTr="008F652C">
        <w:tc>
          <w:tcPr>
            <w:tcW w:w="1374" w:type="pct"/>
            <w:shd w:val="clear" w:color="auto" w:fill="FFFFFF"/>
            <w:hideMark/>
          </w:tcPr>
          <w:p w14:paraId="32F015A7" w14:textId="77777777" w:rsidR="00E958D1" w:rsidRPr="00AA3CF4" w:rsidRDefault="00E958D1" w:rsidP="004A2B5F">
            <w:pPr>
              <w:ind w:left="185"/>
              <w:rPr>
                <w:b/>
                <w:sz w:val="24"/>
              </w:rPr>
            </w:pPr>
            <w:r w:rsidRPr="00AA3CF4">
              <w:rPr>
                <w:b/>
                <w:sz w:val="24"/>
              </w:rPr>
              <w:t>Eye disorders</w:t>
            </w:r>
          </w:p>
        </w:tc>
        <w:tc>
          <w:tcPr>
            <w:tcW w:w="3626" w:type="pct"/>
            <w:shd w:val="clear" w:color="auto" w:fill="FFFFFF"/>
            <w:hideMark/>
          </w:tcPr>
          <w:p w14:paraId="3F7B86C1" w14:textId="77777777" w:rsidR="00E958D1" w:rsidRDefault="00E958D1" w:rsidP="004A2B5F">
            <w:pPr>
              <w:ind w:left="180"/>
              <w:jc w:val="both"/>
              <w:rPr>
                <w:sz w:val="24"/>
              </w:rPr>
            </w:pPr>
            <w:r w:rsidRPr="00E56325">
              <w:rPr>
                <w:iCs/>
                <w:sz w:val="24"/>
              </w:rPr>
              <w:t>Uncommon:</w:t>
            </w:r>
            <w:r w:rsidRPr="00E56325">
              <w:rPr>
                <w:sz w:val="24"/>
              </w:rPr>
              <w:t> visual disturbances (blurred vision, loss of visual acuity or reduced field of vision). These conditions usually resolve on cessation of therapy.</w:t>
            </w:r>
          </w:p>
          <w:p w14:paraId="00ED60DA" w14:textId="77777777" w:rsidR="00E958D1" w:rsidRPr="00E56325" w:rsidRDefault="00E958D1" w:rsidP="004A2B5F">
            <w:pPr>
              <w:ind w:left="180"/>
              <w:jc w:val="both"/>
              <w:rPr>
                <w:sz w:val="24"/>
              </w:rPr>
            </w:pPr>
          </w:p>
        </w:tc>
      </w:tr>
      <w:tr w:rsidR="00E958D1" w:rsidRPr="00E56325" w14:paraId="5F8CC6E7" w14:textId="77777777" w:rsidTr="008F652C">
        <w:tc>
          <w:tcPr>
            <w:tcW w:w="1374" w:type="pct"/>
            <w:shd w:val="clear" w:color="auto" w:fill="FFFFFF"/>
            <w:hideMark/>
          </w:tcPr>
          <w:p w14:paraId="4DC84155" w14:textId="77777777" w:rsidR="00E958D1" w:rsidRPr="00AA3CF4" w:rsidRDefault="00E958D1" w:rsidP="004A2B5F">
            <w:pPr>
              <w:ind w:left="185"/>
              <w:rPr>
                <w:b/>
                <w:sz w:val="24"/>
              </w:rPr>
            </w:pPr>
            <w:r w:rsidRPr="00AA3CF4">
              <w:rPr>
                <w:b/>
                <w:sz w:val="24"/>
              </w:rPr>
              <w:t>Ear and labyrinth disorders</w:t>
            </w:r>
          </w:p>
        </w:tc>
        <w:tc>
          <w:tcPr>
            <w:tcW w:w="3626" w:type="pct"/>
            <w:shd w:val="clear" w:color="auto" w:fill="FFFFFF"/>
            <w:hideMark/>
          </w:tcPr>
          <w:p w14:paraId="167F472A" w14:textId="77777777" w:rsidR="00E958D1" w:rsidRDefault="00E958D1" w:rsidP="004A2B5F">
            <w:pPr>
              <w:ind w:left="180"/>
              <w:jc w:val="both"/>
              <w:rPr>
                <w:sz w:val="24"/>
              </w:rPr>
            </w:pPr>
            <w:r w:rsidRPr="00E56325">
              <w:rPr>
                <w:iCs/>
                <w:sz w:val="24"/>
              </w:rPr>
              <w:t>Uncommon:</w:t>
            </w:r>
            <w:r w:rsidRPr="00E56325">
              <w:rPr>
                <w:sz w:val="24"/>
              </w:rPr>
              <w:t xml:space="preserve"> auditory dysfunction (e.g. tinnitus). </w:t>
            </w:r>
            <w:proofErr w:type="spellStart"/>
            <w:r w:rsidRPr="00E56325">
              <w:rPr>
                <w:sz w:val="24"/>
              </w:rPr>
              <w:t>The</w:t>
            </w:r>
            <w:r>
              <w:rPr>
                <w:sz w:val="24"/>
              </w:rPr>
              <w:t>i</w:t>
            </w:r>
            <w:r w:rsidRPr="00E56325">
              <w:rPr>
                <w:sz w:val="24"/>
              </w:rPr>
              <w:t>se</w:t>
            </w:r>
            <w:proofErr w:type="spellEnd"/>
            <w:r w:rsidRPr="00E56325">
              <w:rPr>
                <w:sz w:val="24"/>
              </w:rPr>
              <w:t xml:space="preserve"> conditions usually resolve on cessation of therapy.</w:t>
            </w:r>
          </w:p>
          <w:p w14:paraId="2BD9D9FF" w14:textId="77777777" w:rsidR="00E958D1" w:rsidRPr="00E56325" w:rsidRDefault="00E958D1" w:rsidP="004A2B5F">
            <w:pPr>
              <w:ind w:left="180"/>
              <w:jc w:val="both"/>
              <w:rPr>
                <w:sz w:val="24"/>
              </w:rPr>
            </w:pPr>
          </w:p>
        </w:tc>
      </w:tr>
      <w:tr w:rsidR="00E958D1" w:rsidRPr="00E56325" w14:paraId="1E987EC0" w14:textId="77777777" w:rsidTr="008F652C">
        <w:tc>
          <w:tcPr>
            <w:tcW w:w="1374" w:type="pct"/>
            <w:shd w:val="clear" w:color="auto" w:fill="FFFFFF"/>
            <w:hideMark/>
          </w:tcPr>
          <w:p w14:paraId="36B77FC2" w14:textId="77777777" w:rsidR="00E958D1" w:rsidRPr="00AA3CF4" w:rsidRDefault="00E958D1" w:rsidP="004A2B5F">
            <w:pPr>
              <w:ind w:left="185"/>
              <w:rPr>
                <w:b/>
                <w:sz w:val="24"/>
              </w:rPr>
            </w:pPr>
            <w:r w:rsidRPr="00AA3CF4">
              <w:rPr>
                <w:b/>
                <w:sz w:val="24"/>
              </w:rPr>
              <w:lastRenderedPageBreak/>
              <w:t>Gastrointestinal disorders</w:t>
            </w:r>
          </w:p>
        </w:tc>
        <w:tc>
          <w:tcPr>
            <w:tcW w:w="3626" w:type="pct"/>
            <w:shd w:val="clear" w:color="auto" w:fill="FFFFFF"/>
            <w:hideMark/>
          </w:tcPr>
          <w:p w14:paraId="38AD0846" w14:textId="77777777" w:rsidR="00E958D1" w:rsidRDefault="00E958D1" w:rsidP="004A2B5F">
            <w:pPr>
              <w:ind w:left="180"/>
              <w:jc w:val="both"/>
              <w:rPr>
                <w:sz w:val="24"/>
              </w:rPr>
            </w:pPr>
            <w:r w:rsidRPr="00E56325">
              <w:rPr>
                <w:iCs/>
                <w:sz w:val="24"/>
              </w:rPr>
              <w:t>Common:</w:t>
            </w:r>
            <w:r w:rsidRPr="00E56325">
              <w:rPr>
                <w:sz w:val="24"/>
              </w:rPr>
              <w:t xml:space="preserve"> diarrhoea, constipation, flatulence (possibly with abdominal pain), nausea and vomiting. </w:t>
            </w:r>
          </w:p>
          <w:p w14:paraId="61233441" w14:textId="77777777" w:rsidR="00E958D1" w:rsidRPr="00E56325" w:rsidRDefault="00E958D1" w:rsidP="004A2B5F">
            <w:pPr>
              <w:ind w:left="180"/>
              <w:jc w:val="both"/>
              <w:rPr>
                <w:sz w:val="24"/>
              </w:rPr>
            </w:pPr>
          </w:p>
        </w:tc>
      </w:tr>
      <w:tr w:rsidR="00E958D1" w:rsidRPr="00E56325" w14:paraId="799AEF47" w14:textId="77777777" w:rsidTr="008F652C">
        <w:tc>
          <w:tcPr>
            <w:tcW w:w="1374" w:type="pct"/>
            <w:shd w:val="clear" w:color="auto" w:fill="FFFFFF"/>
            <w:hideMark/>
          </w:tcPr>
          <w:p w14:paraId="5B435D1F" w14:textId="77777777" w:rsidR="00E958D1" w:rsidRPr="00AA3CF4" w:rsidRDefault="00E958D1" w:rsidP="004A2B5F">
            <w:pPr>
              <w:ind w:left="185"/>
              <w:rPr>
                <w:b/>
                <w:sz w:val="24"/>
              </w:rPr>
            </w:pPr>
            <w:r w:rsidRPr="00AA3CF4">
              <w:rPr>
                <w:b/>
                <w:sz w:val="24"/>
              </w:rPr>
              <w:t>Hepato-biliary disorders</w:t>
            </w:r>
          </w:p>
        </w:tc>
        <w:tc>
          <w:tcPr>
            <w:tcW w:w="3626" w:type="pct"/>
            <w:shd w:val="clear" w:color="auto" w:fill="FFFFFF"/>
            <w:hideMark/>
          </w:tcPr>
          <w:p w14:paraId="42585224" w14:textId="77777777" w:rsidR="00E958D1" w:rsidRDefault="00E958D1" w:rsidP="004A2B5F">
            <w:pPr>
              <w:ind w:left="180"/>
              <w:jc w:val="both"/>
              <w:rPr>
                <w:sz w:val="24"/>
              </w:rPr>
            </w:pPr>
            <w:r w:rsidRPr="00E56325">
              <w:rPr>
                <w:iCs/>
                <w:sz w:val="24"/>
              </w:rPr>
              <w:t>Uncommon:</w:t>
            </w:r>
            <w:r w:rsidRPr="00E56325">
              <w:rPr>
                <w:sz w:val="24"/>
              </w:rPr>
              <w:t xml:space="preserve"> increase of liver enzyme values </w:t>
            </w:r>
          </w:p>
          <w:p w14:paraId="51540DC9" w14:textId="77777777" w:rsidR="00E958D1" w:rsidRDefault="00E958D1" w:rsidP="004A2B5F">
            <w:pPr>
              <w:ind w:left="180"/>
              <w:jc w:val="both"/>
              <w:rPr>
                <w:sz w:val="24"/>
              </w:rPr>
            </w:pPr>
          </w:p>
          <w:p w14:paraId="20A1C8A4" w14:textId="77777777" w:rsidR="00E958D1" w:rsidRPr="00E56325" w:rsidRDefault="00E958D1" w:rsidP="004A2B5F">
            <w:pPr>
              <w:ind w:left="180"/>
              <w:jc w:val="both"/>
              <w:rPr>
                <w:sz w:val="24"/>
              </w:rPr>
            </w:pPr>
          </w:p>
        </w:tc>
      </w:tr>
      <w:tr w:rsidR="00E958D1" w:rsidRPr="00E56325" w14:paraId="78E90B1F" w14:textId="77777777" w:rsidTr="008F652C">
        <w:tc>
          <w:tcPr>
            <w:tcW w:w="1374" w:type="pct"/>
            <w:shd w:val="clear" w:color="auto" w:fill="FFFFFF"/>
            <w:hideMark/>
          </w:tcPr>
          <w:p w14:paraId="47DA5D5F" w14:textId="77777777" w:rsidR="00E958D1" w:rsidRPr="00AA3CF4" w:rsidRDefault="00E958D1" w:rsidP="004A2B5F">
            <w:pPr>
              <w:ind w:left="185"/>
              <w:rPr>
                <w:b/>
                <w:sz w:val="24"/>
              </w:rPr>
            </w:pPr>
            <w:r w:rsidRPr="00AA3CF4">
              <w:rPr>
                <w:b/>
                <w:sz w:val="24"/>
              </w:rPr>
              <w:t>Skin and subcutaneous tissue disorders:</w:t>
            </w:r>
          </w:p>
        </w:tc>
        <w:tc>
          <w:tcPr>
            <w:tcW w:w="3626" w:type="pct"/>
            <w:shd w:val="clear" w:color="auto" w:fill="FFFFFF"/>
            <w:hideMark/>
          </w:tcPr>
          <w:p w14:paraId="1F3CD29E" w14:textId="77777777" w:rsidR="00E958D1" w:rsidRDefault="00E958D1" w:rsidP="004A2B5F">
            <w:pPr>
              <w:ind w:left="180"/>
              <w:jc w:val="both"/>
              <w:rPr>
                <w:sz w:val="24"/>
              </w:rPr>
            </w:pPr>
            <w:r w:rsidRPr="00E56325">
              <w:rPr>
                <w:iCs/>
                <w:sz w:val="24"/>
              </w:rPr>
              <w:t>Uncommon:</w:t>
            </w:r>
            <w:r w:rsidRPr="00E56325">
              <w:rPr>
                <w:sz w:val="24"/>
              </w:rPr>
              <w:t> pruritus, skin eruptions, alopecia, erythema multiforme or photosensitivity and increased tendency to sweat.</w:t>
            </w:r>
          </w:p>
          <w:p w14:paraId="7B68A759" w14:textId="77777777" w:rsidR="00E958D1" w:rsidRPr="00E56325" w:rsidRDefault="00E958D1" w:rsidP="004A2B5F">
            <w:pPr>
              <w:ind w:left="180"/>
              <w:jc w:val="both"/>
              <w:rPr>
                <w:sz w:val="24"/>
              </w:rPr>
            </w:pPr>
          </w:p>
        </w:tc>
      </w:tr>
      <w:tr w:rsidR="00E958D1" w:rsidRPr="00E56325" w14:paraId="1D67BB0F" w14:textId="77777777" w:rsidTr="008F652C">
        <w:tc>
          <w:tcPr>
            <w:tcW w:w="1374" w:type="pct"/>
            <w:shd w:val="clear" w:color="auto" w:fill="FFFFFF"/>
            <w:hideMark/>
          </w:tcPr>
          <w:p w14:paraId="1F5CA5F7" w14:textId="77777777" w:rsidR="00E958D1" w:rsidRPr="00AA3CF4" w:rsidRDefault="00E958D1" w:rsidP="004A2B5F">
            <w:pPr>
              <w:ind w:left="185"/>
              <w:rPr>
                <w:b/>
                <w:sz w:val="24"/>
              </w:rPr>
            </w:pPr>
            <w:r w:rsidRPr="00AA3CF4">
              <w:rPr>
                <w:b/>
                <w:sz w:val="24"/>
              </w:rPr>
              <w:t>Musculoskeletal, connective tissue and bone disorders</w:t>
            </w:r>
          </w:p>
        </w:tc>
        <w:tc>
          <w:tcPr>
            <w:tcW w:w="3626" w:type="pct"/>
            <w:shd w:val="clear" w:color="auto" w:fill="FFFFFF"/>
            <w:hideMark/>
          </w:tcPr>
          <w:p w14:paraId="4057B864" w14:textId="77777777" w:rsidR="00E958D1" w:rsidRDefault="00E958D1" w:rsidP="004A2B5F">
            <w:pPr>
              <w:ind w:left="180"/>
              <w:jc w:val="both"/>
              <w:rPr>
                <w:sz w:val="24"/>
              </w:rPr>
            </w:pPr>
            <w:r w:rsidRPr="00E56325">
              <w:rPr>
                <w:iCs/>
                <w:sz w:val="24"/>
              </w:rPr>
              <w:t>Rare:</w:t>
            </w:r>
            <w:r w:rsidRPr="00E56325">
              <w:rPr>
                <w:sz w:val="24"/>
              </w:rPr>
              <w:t> muscle weakness, myalgia and joint pain.</w:t>
            </w:r>
          </w:p>
          <w:p w14:paraId="0049AEFF" w14:textId="77777777" w:rsidR="00E958D1" w:rsidRDefault="00E958D1" w:rsidP="004A2B5F">
            <w:pPr>
              <w:ind w:left="180"/>
              <w:jc w:val="both"/>
              <w:rPr>
                <w:sz w:val="24"/>
              </w:rPr>
            </w:pPr>
          </w:p>
          <w:p w14:paraId="25CB17DF" w14:textId="77777777" w:rsidR="00E958D1" w:rsidRDefault="00E958D1" w:rsidP="004A2B5F">
            <w:pPr>
              <w:ind w:left="180"/>
              <w:jc w:val="both"/>
              <w:rPr>
                <w:sz w:val="24"/>
              </w:rPr>
            </w:pPr>
          </w:p>
          <w:p w14:paraId="7B5F986E" w14:textId="77777777" w:rsidR="00E958D1" w:rsidRPr="00E56325" w:rsidRDefault="00E958D1" w:rsidP="004A2B5F">
            <w:pPr>
              <w:ind w:left="180"/>
              <w:jc w:val="both"/>
              <w:rPr>
                <w:sz w:val="24"/>
              </w:rPr>
            </w:pPr>
          </w:p>
        </w:tc>
      </w:tr>
      <w:tr w:rsidR="00E958D1" w:rsidRPr="00E56325" w14:paraId="68997AA6" w14:textId="77777777" w:rsidTr="008F652C">
        <w:tc>
          <w:tcPr>
            <w:tcW w:w="1374" w:type="pct"/>
            <w:shd w:val="clear" w:color="auto" w:fill="FFFFFF"/>
            <w:hideMark/>
          </w:tcPr>
          <w:p w14:paraId="2F7FF51C" w14:textId="77777777" w:rsidR="00E958D1" w:rsidRPr="00AA3CF4" w:rsidRDefault="00E958D1" w:rsidP="004A2B5F">
            <w:pPr>
              <w:ind w:left="185"/>
              <w:rPr>
                <w:b/>
                <w:sz w:val="24"/>
              </w:rPr>
            </w:pPr>
            <w:r w:rsidRPr="00AA3CF4">
              <w:rPr>
                <w:b/>
                <w:sz w:val="24"/>
              </w:rPr>
              <w:t>Renal and urinary disorders</w:t>
            </w:r>
          </w:p>
        </w:tc>
        <w:tc>
          <w:tcPr>
            <w:tcW w:w="3626" w:type="pct"/>
            <w:shd w:val="clear" w:color="auto" w:fill="FFFFFF"/>
            <w:hideMark/>
          </w:tcPr>
          <w:p w14:paraId="5AEAF1A9" w14:textId="77777777" w:rsidR="00E958D1" w:rsidRDefault="00E958D1" w:rsidP="004A2B5F">
            <w:pPr>
              <w:ind w:left="180"/>
              <w:jc w:val="both"/>
              <w:rPr>
                <w:sz w:val="24"/>
              </w:rPr>
            </w:pPr>
            <w:r w:rsidRPr="00E56325">
              <w:rPr>
                <w:iCs/>
                <w:sz w:val="24"/>
              </w:rPr>
              <w:t>Rare:</w:t>
            </w:r>
            <w:r w:rsidRPr="00E56325">
              <w:rPr>
                <w:sz w:val="24"/>
              </w:rPr>
              <w:t> nephritis (interstitial nephritis)</w:t>
            </w:r>
          </w:p>
          <w:p w14:paraId="0245CCF8" w14:textId="77777777" w:rsidR="00E958D1" w:rsidRDefault="00E958D1" w:rsidP="004A2B5F">
            <w:pPr>
              <w:ind w:left="180"/>
              <w:jc w:val="both"/>
              <w:rPr>
                <w:sz w:val="24"/>
              </w:rPr>
            </w:pPr>
          </w:p>
          <w:p w14:paraId="4AD50123" w14:textId="77777777" w:rsidR="00E958D1" w:rsidRPr="00E56325" w:rsidRDefault="00E958D1" w:rsidP="004A2B5F">
            <w:pPr>
              <w:ind w:left="180"/>
              <w:jc w:val="both"/>
              <w:rPr>
                <w:sz w:val="24"/>
              </w:rPr>
            </w:pPr>
          </w:p>
        </w:tc>
      </w:tr>
      <w:tr w:rsidR="00E958D1" w:rsidRPr="00E56325" w14:paraId="6FC3C198" w14:textId="77777777" w:rsidTr="008F652C">
        <w:tc>
          <w:tcPr>
            <w:tcW w:w="1374" w:type="pct"/>
            <w:shd w:val="clear" w:color="auto" w:fill="FFFFFF"/>
            <w:hideMark/>
          </w:tcPr>
          <w:p w14:paraId="63032877" w14:textId="77777777" w:rsidR="00E958D1" w:rsidRPr="00AA3CF4" w:rsidRDefault="00E958D1" w:rsidP="004A2B5F">
            <w:pPr>
              <w:ind w:left="185"/>
              <w:rPr>
                <w:b/>
                <w:sz w:val="24"/>
              </w:rPr>
            </w:pPr>
            <w:r w:rsidRPr="00AA3CF4">
              <w:rPr>
                <w:b/>
                <w:sz w:val="24"/>
              </w:rPr>
              <w:t>Other adverse effects</w:t>
            </w:r>
          </w:p>
        </w:tc>
        <w:tc>
          <w:tcPr>
            <w:tcW w:w="3626" w:type="pct"/>
            <w:shd w:val="clear" w:color="auto" w:fill="FFFFFF"/>
            <w:hideMark/>
          </w:tcPr>
          <w:p w14:paraId="0B34483B" w14:textId="77777777" w:rsidR="00E958D1" w:rsidRPr="00E56325" w:rsidRDefault="00E958D1" w:rsidP="004A2B5F">
            <w:pPr>
              <w:ind w:left="180"/>
              <w:jc w:val="both"/>
              <w:rPr>
                <w:sz w:val="24"/>
              </w:rPr>
            </w:pPr>
            <w:r w:rsidRPr="00E56325">
              <w:rPr>
                <w:iCs/>
                <w:sz w:val="24"/>
              </w:rPr>
              <w:t>Uncommon:</w:t>
            </w:r>
            <w:r w:rsidRPr="00E56325">
              <w:rPr>
                <w:sz w:val="24"/>
              </w:rPr>
              <w:t xml:space="preserve"> malaise, peripheral oedema </w:t>
            </w:r>
          </w:p>
        </w:tc>
      </w:tr>
    </w:tbl>
    <w:p w14:paraId="43E6CCF8" w14:textId="77777777" w:rsidR="00E958D1" w:rsidRPr="008F652C" w:rsidRDefault="00E958D1" w:rsidP="008F652C">
      <w:pPr>
        <w:adjustRightInd w:val="0"/>
        <w:spacing w:line="360" w:lineRule="auto"/>
        <w:jc w:val="both"/>
        <w:rPr>
          <w:sz w:val="24"/>
        </w:rPr>
      </w:pPr>
      <w:r w:rsidRPr="00E56325">
        <w:rPr>
          <w:sz w:val="24"/>
        </w:rPr>
        <w:t>In sporadic cases irreversible visual disorders have been reported with very seriously ill patients who were treated with intravenous injections of Omeprazole and then, in particular, with high dosages. A causal link has however not been established.</w:t>
      </w:r>
    </w:p>
    <w:p w14:paraId="08521D8A" w14:textId="77777777" w:rsidR="00E61612" w:rsidRDefault="00E61612" w:rsidP="00CA0921">
      <w:pPr>
        <w:adjustRightInd w:val="0"/>
        <w:spacing w:line="360" w:lineRule="auto"/>
        <w:jc w:val="both"/>
        <w:rPr>
          <w:b/>
          <w:sz w:val="24"/>
          <w:szCs w:val="24"/>
        </w:rPr>
      </w:pPr>
      <w:r w:rsidRPr="00CA0921">
        <w:rPr>
          <w:b/>
          <w:sz w:val="24"/>
          <w:szCs w:val="24"/>
        </w:rPr>
        <w:t>4.9. Overdose:</w:t>
      </w:r>
    </w:p>
    <w:p w14:paraId="5143E9A2" w14:textId="77777777" w:rsidR="008F652C" w:rsidRPr="002D7DFB" w:rsidRDefault="008F652C" w:rsidP="008F652C">
      <w:pPr>
        <w:shd w:val="clear" w:color="auto" w:fill="FFFFFF"/>
        <w:spacing w:line="360" w:lineRule="auto"/>
        <w:jc w:val="both"/>
        <w:rPr>
          <w:color w:val="000000"/>
          <w:sz w:val="24"/>
        </w:rPr>
      </w:pPr>
      <w:r w:rsidRPr="002D7DFB">
        <w:rPr>
          <w:color w:val="000000"/>
          <w:sz w:val="24"/>
        </w:rPr>
        <w:t>There is limited information available on the effects of overdoses of omeprazole in humans. In the literature, doses of up to 560 mg have been described, and occasional reports have been received when single oral doses have reached up to 2,400 mg omeprazole (120 times the usual recommended clinical dose). Nausea, vomiting, dizziness, abdominal pain, diarrhoea and headache have been reported. Also apathy, depression and confusion have been described in single cases.</w:t>
      </w:r>
    </w:p>
    <w:p w14:paraId="3566D607" w14:textId="77777777" w:rsidR="008F652C" w:rsidRPr="00CA0036" w:rsidRDefault="008F652C" w:rsidP="00CA0036">
      <w:pPr>
        <w:shd w:val="clear" w:color="auto" w:fill="FFFFFF"/>
        <w:spacing w:line="360" w:lineRule="auto"/>
        <w:jc w:val="both"/>
        <w:rPr>
          <w:color w:val="000000"/>
          <w:sz w:val="24"/>
        </w:rPr>
      </w:pPr>
      <w:r w:rsidRPr="002D7DFB">
        <w:rPr>
          <w:color w:val="000000"/>
          <w:sz w:val="24"/>
        </w:rPr>
        <w:t>The symptoms described have been transient, and no serious outcome has been reported. The rate of elimination was unchanged (first order kinetics) with increased doses. Treatment, if needed, is symptomatic.</w:t>
      </w:r>
    </w:p>
    <w:p w14:paraId="452D8CC8" w14:textId="77777777" w:rsidR="00E61612" w:rsidRPr="00CA0921" w:rsidRDefault="00E61612" w:rsidP="00CA0921">
      <w:pPr>
        <w:adjustRightInd w:val="0"/>
        <w:spacing w:line="360" w:lineRule="auto"/>
        <w:jc w:val="both"/>
        <w:rPr>
          <w:b/>
          <w:sz w:val="24"/>
          <w:szCs w:val="24"/>
        </w:rPr>
      </w:pPr>
      <w:r w:rsidRPr="00CA0921">
        <w:rPr>
          <w:b/>
          <w:sz w:val="24"/>
          <w:szCs w:val="24"/>
        </w:rPr>
        <w:t>5. Pharmacological properties:</w:t>
      </w:r>
    </w:p>
    <w:p w14:paraId="7F7E9E02" w14:textId="77777777" w:rsidR="00E61612" w:rsidRPr="00CA0921" w:rsidRDefault="00E61612" w:rsidP="00CA0921">
      <w:pPr>
        <w:shd w:val="clear" w:color="auto" w:fill="FFFFFF"/>
        <w:spacing w:line="360" w:lineRule="auto"/>
        <w:jc w:val="both"/>
        <w:rPr>
          <w:sz w:val="24"/>
          <w:szCs w:val="24"/>
        </w:rPr>
      </w:pPr>
      <w:r w:rsidRPr="00CA0921">
        <w:rPr>
          <w:b/>
          <w:sz w:val="24"/>
          <w:szCs w:val="24"/>
        </w:rPr>
        <w:t>5.1. Pharmacodynamic properties</w:t>
      </w:r>
      <w:r w:rsidRPr="00CA0921">
        <w:rPr>
          <w:sz w:val="24"/>
          <w:szCs w:val="24"/>
        </w:rPr>
        <w:t xml:space="preserve">: </w:t>
      </w:r>
    </w:p>
    <w:p w14:paraId="3780AC43" w14:textId="77777777" w:rsidR="00CA0036" w:rsidRDefault="00CA0036" w:rsidP="00CA0036">
      <w:pPr>
        <w:adjustRightInd w:val="0"/>
        <w:spacing w:line="360" w:lineRule="auto"/>
        <w:jc w:val="both"/>
        <w:rPr>
          <w:color w:val="000000"/>
          <w:sz w:val="24"/>
        </w:rPr>
      </w:pPr>
      <w:r w:rsidRPr="00311755">
        <w:rPr>
          <w:b/>
          <w:color w:val="000000"/>
          <w:sz w:val="24"/>
        </w:rPr>
        <w:t>Pharmacotherapeutic group:</w:t>
      </w:r>
      <w:r w:rsidRPr="00311755">
        <w:rPr>
          <w:color w:val="000000"/>
          <w:sz w:val="24"/>
        </w:rPr>
        <w:t xml:space="preserve"> Selective proton plump inhibitor, substituted benzimidazole.</w:t>
      </w:r>
    </w:p>
    <w:p w14:paraId="5E5D51CB" w14:textId="77777777" w:rsidR="00CA0036" w:rsidRPr="00311755" w:rsidRDefault="00CA0036" w:rsidP="00CA0036">
      <w:pPr>
        <w:adjustRightInd w:val="0"/>
        <w:spacing w:line="360" w:lineRule="auto"/>
        <w:jc w:val="both"/>
        <w:rPr>
          <w:color w:val="000000"/>
          <w:sz w:val="24"/>
          <w:szCs w:val="24"/>
        </w:rPr>
      </w:pPr>
      <w:r w:rsidRPr="00311755">
        <w:rPr>
          <w:color w:val="000000"/>
          <w:sz w:val="24"/>
          <w:szCs w:val="24"/>
        </w:rPr>
        <w:t>ATC-CODE: A02B C01</w:t>
      </w:r>
    </w:p>
    <w:p w14:paraId="3D17AF37" w14:textId="77777777" w:rsidR="00CA0036" w:rsidRPr="00915026" w:rsidRDefault="00CA0036" w:rsidP="00CA0036">
      <w:pPr>
        <w:shd w:val="clear" w:color="auto" w:fill="FFFFFF"/>
        <w:spacing w:line="360" w:lineRule="auto"/>
        <w:jc w:val="both"/>
        <w:rPr>
          <w:b/>
          <w:color w:val="000000"/>
          <w:sz w:val="24"/>
        </w:rPr>
      </w:pPr>
      <w:r w:rsidRPr="00915026">
        <w:rPr>
          <w:b/>
          <w:color w:val="000000"/>
          <w:sz w:val="24"/>
          <w:u w:val="single"/>
        </w:rPr>
        <w:t>Mechanism of action</w:t>
      </w:r>
    </w:p>
    <w:p w14:paraId="50A99BFC" w14:textId="77777777" w:rsidR="00CA0036" w:rsidRPr="00915026" w:rsidRDefault="00CA0036" w:rsidP="00CA0036">
      <w:pPr>
        <w:shd w:val="clear" w:color="auto" w:fill="FFFFFF"/>
        <w:spacing w:line="360" w:lineRule="auto"/>
        <w:jc w:val="both"/>
        <w:rPr>
          <w:color w:val="000000"/>
          <w:sz w:val="24"/>
        </w:rPr>
      </w:pPr>
      <w:r w:rsidRPr="00915026">
        <w:rPr>
          <w:color w:val="000000"/>
          <w:sz w:val="24"/>
        </w:rPr>
        <w:lastRenderedPageBreak/>
        <w:t>Omeprazole, a racemic mixture of two enantiomers reduces gastric acid secretion through a highly targeted mechanism of action. It is a specific inhibitor of the acid pump in the parietal cell. It is rapidly acting and provides control through reversible inhibition of gastric acid secretion with once daily dosing.</w:t>
      </w:r>
    </w:p>
    <w:p w14:paraId="15D1E592" w14:textId="77777777" w:rsidR="00CA0036" w:rsidRDefault="00CA0036" w:rsidP="00CA0036">
      <w:pPr>
        <w:shd w:val="clear" w:color="auto" w:fill="FFFFFF"/>
        <w:spacing w:line="360" w:lineRule="auto"/>
        <w:jc w:val="both"/>
        <w:rPr>
          <w:color w:val="000000"/>
          <w:sz w:val="24"/>
        </w:rPr>
      </w:pPr>
      <w:r w:rsidRPr="00915026">
        <w:rPr>
          <w:color w:val="000000"/>
          <w:sz w:val="24"/>
        </w:rPr>
        <w:t>Omeprazole is a weak base and is concentrated and converted to the active form in the highly acidic environment of the intracellular canaliculi within the parietal cell, where it inhibits the enzyme H+ K+-ATPase - the acid pump. This effect on the final step of the gastric acid formation process is dose-dependent and provides for highly effective inhibition of both basal acid secretion and stimulated acid secretion, irrespective of stimulus.</w:t>
      </w:r>
    </w:p>
    <w:p w14:paraId="3060CF68" w14:textId="77777777" w:rsidR="00CA0036" w:rsidRPr="00915026" w:rsidRDefault="00CA0036" w:rsidP="00CA0036">
      <w:pPr>
        <w:shd w:val="clear" w:color="auto" w:fill="FFFFFF"/>
        <w:spacing w:line="360" w:lineRule="auto"/>
        <w:jc w:val="both"/>
        <w:rPr>
          <w:b/>
          <w:color w:val="000000"/>
          <w:sz w:val="24"/>
        </w:rPr>
      </w:pPr>
      <w:r w:rsidRPr="00915026">
        <w:rPr>
          <w:b/>
          <w:color w:val="000000"/>
          <w:sz w:val="24"/>
          <w:u w:val="single"/>
        </w:rPr>
        <w:t>Pharmacodynamic effects</w:t>
      </w:r>
    </w:p>
    <w:p w14:paraId="0D01998F" w14:textId="77777777" w:rsidR="00CA0036" w:rsidRPr="00915026" w:rsidRDefault="00CA0036" w:rsidP="00CA0036">
      <w:pPr>
        <w:shd w:val="clear" w:color="auto" w:fill="FFFFFF"/>
        <w:spacing w:line="360" w:lineRule="auto"/>
        <w:jc w:val="both"/>
        <w:rPr>
          <w:color w:val="000000"/>
          <w:sz w:val="24"/>
        </w:rPr>
      </w:pPr>
      <w:r w:rsidRPr="00915026">
        <w:rPr>
          <w:color w:val="000000"/>
          <w:sz w:val="24"/>
        </w:rPr>
        <w:t>All pharmacodynamic effects observed can be explained by the effect of omeprazole on acid secretion.</w:t>
      </w:r>
    </w:p>
    <w:p w14:paraId="116CAF16" w14:textId="77777777" w:rsidR="00CA0036" w:rsidRPr="00A62643" w:rsidRDefault="00CA0036" w:rsidP="00CA0036">
      <w:pPr>
        <w:shd w:val="clear" w:color="auto" w:fill="FFFFFF"/>
        <w:spacing w:line="360" w:lineRule="auto"/>
        <w:jc w:val="both"/>
        <w:rPr>
          <w:color w:val="000000"/>
          <w:sz w:val="24"/>
          <w:u w:val="single"/>
        </w:rPr>
      </w:pPr>
      <w:r w:rsidRPr="00A62643">
        <w:rPr>
          <w:iCs/>
          <w:color w:val="000000"/>
          <w:sz w:val="24"/>
          <w:u w:val="single"/>
        </w:rPr>
        <w:t>Effect on gastric acid secretion</w:t>
      </w:r>
    </w:p>
    <w:p w14:paraId="118591F2" w14:textId="77777777" w:rsidR="00CA0036" w:rsidRPr="00915026" w:rsidRDefault="00CA0036" w:rsidP="00CA0036">
      <w:pPr>
        <w:shd w:val="clear" w:color="auto" w:fill="FFFFFF"/>
        <w:spacing w:line="360" w:lineRule="auto"/>
        <w:jc w:val="both"/>
        <w:rPr>
          <w:color w:val="000000"/>
          <w:sz w:val="24"/>
        </w:rPr>
      </w:pPr>
      <w:r w:rsidRPr="00915026">
        <w:rPr>
          <w:color w:val="000000"/>
          <w:sz w:val="24"/>
        </w:rPr>
        <w:t xml:space="preserve">Oral dosing with omeprazole once daily provides for rapid and effective inhibition of daytime and night time gastric acid secretion with maximum effect being achieved within 4 days of treatment. With omeprazole 20 mg, a mean decrease of at least 80% in 24-hour intragastric acidity is then maintained in duodenal ulcer patients, with the mean decrease in peak acid output after </w:t>
      </w:r>
      <w:proofErr w:type="spellStart"/>
      <w:r w:rsidRPr="00915026">
        <w:rPr>
          <w:color w:val="000000"/>
          <w:sz w:val="24"/>
        </w:rPr>
        <w:t>pentagastrin</w:t>
      </w:r>
      <w:proofErr w:type="spellEnd"/>
      <w:r w:rsidRPr="00915026">
        <w:rPr>
          <w:color w:val="000000"/>
          <w:sz w:val="24"/>
        </w:rPr>
        <w:t xml:space="preserve"> stimulation being about 70% 24 hours after dosing.</w:t>
      </w:r>
    </w:p>
    <w:p w14:paraId="4C3CB82C" w14:textId="77777777" w:rsidR="00CA0036" w:rsidRPr="00915026" w:rsidRDefault="00CA0036" w:rsidP="00CA0036">
      <w:pPr>
        <w:shd w:val="clear" w:color="auto" w:fill="FFFFFF"/>
        <w:spacing w:line="360" w:lineRule="auto"/>
        <w:jc w:val="both"/>
        <w:rPr>
          <w:color w:val="000000"/>
          <w:sz w:val="24"/>
        </w:rPr>
      </w:pPr>
      <w:r w:rsidRPr="00915026">
        <w:rPr>
          <w:color w:val="000000"/>
          <w:sz w:val="24"/>
        </w:rPr>
        <w:t>Oral dosing with omeprazole 20 mg maintains an intragastric pH of ≥ 3 for a mean time of 17 hours of the 24-hour period in duodenal ulcer patients.</w:t>
      </w:r>
    </w:p>
    <w:p w14:paraId="50723FDB" w14:textId="77777777" w:rsidR="00CA0036" w:rsidRPr="00915026" w:rsidRDefault="00CA0036" w:rsidP="00CA0036">
      <w:pPr>
        <w:shd w:val="clear" w:color="auto" w:fill="FFFFFF"/>
        <w:spacing w:line="360" w:lineRule="auto"/>
        <w:jc w:val="both"/>
        <w:rPr>
          <w:color w:val="000000"/>
          <w:sz w:val="24"/>
        </w:rPr>
      </w:pPr>
      <w:r w:rsidRPr="00915026">
        <w:rPr>
          <w:color w:val="000000"/>
          <w:sz w:val="24"/>
        </w:rPr>
        <w:t>As a consequence of reduced acid secretion and intragastric acidity, omeprazole dose-dependently reduces/normalizes acid exposure of the esophagus in patients with gastro-esophageal reflux disease. The inhibition of acid secretion is related to the area under the plasma concentration-time curve (AUC) of omeprazole and not to the actual plasma concentration at a given time.</w:t>
      </w:r>
    </w:p>
    <w:p w14:paraId="4A08A686" w14:textId="77777777" w:rsidR="00CA0036" w:rsidRDefault="00CA0036" w:rsidP="00CA0036">
      <w:pPr>
        <w:shd w:val="clear" w:color="auto" w:fill="FFFFFF"/>
        <w:spacing w:line="360" w:lineRule="auto"/>
        <w:jc w:val="both"/>
        <w:rPr>
          <w:color w:val="000000"/>
          <w:sz w:val="24"/>
        </w:rPr>
      </w:pPr>
      <w:r w:rsidRPr="00915026">
        <w:rPr>
          <w:color w:val="000000"/>
          <w:sz w:val="24"/>
        </w:rPr>
        <w:t>No tachyphylaxis has been observed during treatment with omeprazole.</w:t>
      </w:r>
    </w:p>
    <w:p w14:paraId="48E94715" w14:textId="77777777" w:rsidR="00CA0036" w:rsidRPr="00DD4390" w:rsidRDefault="00CA0036" w:rsidP="00CA0036">
      <w:pPr>
        <w:shd w:val="clear" w:color="auto" w:fill="FFFFFF"/>
        <w:spacing w:line="360" w:lineRule="auto"/>
        <w:jc w:val="both"/>
        <w:rPr>
          <w:color w:val="000000"/>
          <w:sz w:val="24"/>
          <w:u w:val="single"/>
        </w:rPr>
      </w:pPr>
      <w:r w:rsidRPr="00DD4390">
        <w:rPr>
          <w:iCs/>
          <w:color w:val="000000"/>
          <w:sz w:val="24"/>
          <w:u w:val="single"/>
        </w:rPr>
        <w:t>Effect on H. pylori</w:t>
      </w:r>
    </w:p>
    <w:p w14:paraId="3858D9C1" w14:textId="77777777" w:rsidR="00CA0036" w:rsidRPr="00915026" w:rsidRDefault="00CA0036" w:rsidP="00CA0036">
      <w:pPr>
        <w:shd w:val="clear" w:color="auto" w:fill="FFFFFF"/>
        <w:spacing w:line="360" w:lineRule="auto"/>
        <w:jc w:val="both"/>
        <w:rPr>
          <w:color w:val="000000"/>
          <w:sz w:val="24"/>
        </w:rPr>
      </w:pPr>
      <w:r w:rsidRPr="00915026">
        <w:rPr>
          <w:i/>
          <w:iCs/>
          <w:color w:val="000000"/>
          <w:sz w:val="24"/>
        </w:rPr>
        <w:t>H. pylori </w:t>
      </w:r>
      <w:r w:rsidRPr="00915026">
        <w:rPr>
          <w:color w:val="000000"/>
          <w:sz w:val="24"/>
        </w:rPr>
        <w:t>is associated with peptic ulcer disease, including duodenal and gastric ulcer disease. </w:t>
      </w:r>
      <w:r w:rsidRPr="00915026">
        <w:rPr>
          <w:i/>
          <w:iCs/>
          <w:color w:val="000000"/>
          <w:sz w:val="24"/>
        </w:rPr>
        <w:t>H. pylori </w:t>
      </w:r>
      <w:r w:rsidRPr="00915026">
        <w:rPr>
          <w:color w:val="000000"/>
          <w:sz w:val="24"/>
        </w:rPr>
        <w:t>is a major factor in the development of gastritis. </w:t>
      </w:r>
      <w:r w:rsidRPr="00915026">
        <w:rPr>
          <w:i/>
          <w:iCs/>
          <w:color w:val="000000"/>
          <w:sz w:val="24"/>
        </w:rPr>
        <w:t>H. pylori </w:t>
      </w:r>
      <w:r w:rsidRPr="00915026">
        <w:rPr>
          <w:color w:val="000000"/>
          <w:sz w:val="24"/>
        </w:rPr>
        <w:t>together with gastric acid are major factors in the development of peptic ulcer disease. </w:t>
      </w:r>
      <w:r w:rsidRPr="00915026">
        <w:rPr>
          <w:i/>
          <w:iCs/>
          <w:color w:val="000000"/>
          <w:sz w:val="24"/>
        </w:rPr>
        <w:t>H. pylori </w:t>
      </w:r>
      <w:r w:rsidRPr="00915026">
        <w:rPr>
          <w:color w:val="000000"/>
          <w:sz w:val="24"/>
        </w:rPr>
        <w:t xml:space="preserve">is a major </w:t>
      </w:r>
      <w:r w:rsidRPr="00915026">
        <w:rPr>
          <w:color w:val="000000"/>
          <w:sz w:val="24"/>
        </w:rPr>
        <w:lastRenderedPageBreak/>
        <w:t>factor in the development of atrophic gastritis which is associated with an increased risk of developing gastric cancer.</w:t>
      </w:r>
    </w:p>
    <w:p w14:paraId="43A694E2" w14:textId="77777777" w:rsidR="00CA0036" w:rsidRPr="00915026" w:rsidRDefault="00CA0036" w:rsidP="00CA0036">
      <w:pPr>
        <w:shd w:val="clear" w:color="auto" w:fill="FFFFFF"/>
        <w:spacing w:line="360" w:lineRule="auto"/>
        <w:jc w:val="both"/>
        <w:rPr>
          <w:color w:val="000000"/>
          <w:sz w:val="24"/>
        </w:rPr>
      </w:pPr>
      <w:r w:rsidRPr="00915026">
        <w:rPr>
          <w:color w:val="000000"/>
          <w:sz w:val="24"/>
        </w:rPr>
        <w:t>Eradication of </w:t>
      </w:r>
      <w:r w:rsidRPr="00915026">
        <w:rPr>
          <w:i/>
          <w:iCs/>
          <w:color w:val="000000"/>
          <w:sz w:val="24"/>
        </w:rPr>
        <w:t>H. pylori </w:t>
      </w:r>
      <w:r w:rsidRPr="00915026">
        <w:rPr>
          <w:color w:val="000000"/>
          <w:sz w:val="24"/>
        </w:rPr>
        <w:t>with omeprazole and antimicrobials is associated with, high rates of healing and long-term remission of peptic ulcers.</w:t>
      </w:r>
    </w:p>
    <w:p w14:paraId="68AA7EC9" w14:textId="77777777" w:rsidR="00CA0036" w:rsidRPr="00915026" w:rsidRDefault="00CA0036" w:rsidP="00CA0036">
      <w:pPr>
        <w:shd w:val="clear" w:color="auto" w:fill="FFFFFF"/>
        <w:spacing w:line="360" w:lineRule="auto"/>
        <w:jc w:val="both"/>
        <w:rPr>
          <w:color w:val="000000"/>
          <w:sz w:val="24"/>
        </w:rPr>
      </w:pPr>
      <w:r w:rsidRPr="00915026">
        <w:rPr>
          <w:color w:val="000000"/>
          <w:sz w:val="24"/>
        </w:rPr>
        <w:t>Dual therapies have been tested and found to be less effective than triple therapies. They could, however, be considered in cases where known hypersensitivity precludes use of any triple combination.</w:t>
      </w:r>
    </w:p>
    <w:p w14:paraId="6FCED94E" w14:textId="77777777" w:rsidR="00CA0036" w:rsidRPr="00915026" w:rsidRDefault="00CA0036" w:rsidP="00CA0036">
      <w:pPr>
        <w:shd w:val="clear" w:color="auto" w:fill="FFFFFF"/>
        <w:spacing w:line="360" w:lineRule="auto"/>
        <w:jc w:val="both"/>
        <w:rPr>
          <w:color w:val="000000"/>
          <w:sz w:val="24"/>
          <w:u w:val="single"/>
        </w:rPr>
      </w:pPr>
      <w:r w:rsidRPr="00915026">
        <w:rPr>
          <w:iCs/>
          <w:color w:val="000000"/>
          <w:sz w:val="24"/>
          <w:u w:val="single"/>
        </w:rPr>
        <w:t>Other effects related to acid inhibition</w:t>
      </w:r>
    </w:p>
    <w:p w14:paraId="6D7381F0" w14:textId="77777777" w:rsidR="00CA0036" w:rsidRPr="00915026" w:rsidRDefault="00CA0036" w:rsidP="00CA0036">
      <w:pPr>
        <w:shd w:val="clear" w:color="auto" w:fill="FFFFFF"/>
        <w:spacing w:line="360" w:lineRule="auto"/>
        <w:jc w:val="both"/>
        <w:rPr>
          <w:color w:val="000000"/>
          <w:sz w:val="24"/>
        </w:rPr>
      </w:pPr>
      <w:r w:rsidRPr="00915026">
        <w:rPr>
          <w:color w:val="000000"/>
          <w:sz w:val="24"/>
        </w:rPr>
        <w:t>During long-term treatment gastric glandular cysts have been reported in a somewhat increased frequency. These changes are a physiological consequence of pronounced inhibition of acid secretion, are benign and appear to be reversible.</w:t>
      </w:r>
    </w:p>
    <w:p w14:paraId="034CD717" w14:textId="77777777" w:rsidR="00CA0036" w:rsidRPr="00A62643" w:rsidRDefault="00CA0036" w:rsidP="00CA0036">
      <w:pPr>
        <w:shd w:val="clear" w:color="auto" w:fill="FFFFFF"/>
        <w:spacing w:line="360" w:lineRule="auto"/>
        <w:jc w:val="both"/>
        <w:rPr>
          <w:color w:val="000000"/>
          <w:sz w:val="24"/>
        </w:rPr>
      </w:pPr>
      <w:r w:rsidRPr="00915026">
        <w:rPr>
          <w:color w:val="000000"/>
          <w:sz w:val="24"/>
        </w:rPr>
        <w:t xml:space="preserve">Decreased gastric acidity due to any means including proton pump inhibitors, increases gastric counts of bacteria normally present in the gastrointestinal tract. Treatment with acid-reducing drugs may lead to slightly increased risk of </w:t>
      </w:r>
      <w:r w:rsidRPr="00A62643">
        <w:rPr>
          <w:color w:val="000000"/>
          <w:sz w:val="24"/>
        </w:rPr>
        <w:t>gastrointestinal infections such as </w:t>
      </w:r>
      <w:r w:rsidRPr="00A62643">
        <w:rPr>
          <w:iCs/>
          <w:color w:val="000000"/>
          <w:sz w:val="24"/>
        </w:rPr>
        <w:t>Salmonella </w:t>
      </w:r>
      <w:r w:rsidRPr="00A62643">
        <w:rPr>
          <w:color w:val="000000"/>
          <w:sz w:val="24"/>
        </w:rPr>
        <w:t>and </w:t>
      </w:r>
      <w:r w:rsidRPr="00A62643">
        <w:rPr>
          <w:iCs/>
          <w:color w:val="000000"/>
          <w:sz w:val="24"/>
        </w:rPr>
        <w:t>Campylobacter.</w:t>
      </w:r>
    </w:p>
    <w:p w14:paraId="35E44D6C" w14:textId="77777777" w:rsidR="00CA0036" w:rsidRPr="00915026" w:rsidRDefault="00CA0036" w:rsidP="00CA0036">
      <w:pPr>
        <w:shd w:val="clear" w:color="auto" w:fill="FFFFFF"/>
        <w:spacing w:line="360" w:lineRule="auto"/>
        <w:jc w:val="both"/>
        <w:rPr>
          <w:color w:val="000000"/>
          <w:sz w:val="24"/>
        </w:rPr>
      </w:pPr>
      <w:r w:rsidRPr="00915026">
        <w:rPr>
          <w:color w:val="000000"/>
          <w:sz w:val="24"/>
          <w:u w:val="single"/>
        </w:rPr>
        <w:t>Paediatric use</w:t>
      </w:r>
    </w:p>
    <w:p w14:paraId="127AE754" w14:textId="77777777" w:rsidR="00CA0036" w:rsidRPr="00915026" w:rsidRDefault="00CA0036" w:rsidP="00CA0036">
      <w:pPr>
        <w:shd w:val="clear" w:color="auto" w:fill="FFFFFF"/>
        <w:spacing w:line="360" w:lineRule="auto"/>
        <w:jc w:val="both"/>
        <w:rPr>
          <w:color w:val="000000"/>
          <w:sz w:val="24"/>
        </w:rPr>
      </w:pPr>
      <w:r w:rsidRPr="00915026">
        <w:rPr>
          <w:color w:val="000000"/>
          <w:sz w:val="24"/>
        </w:rPr>
        <w:t>In a non-controlled study in children (1 to 16 years of age) with severe reflux esophagitis, omeprazole at doses of 0.7 to 1.4 mg/kg improved esophagitis level in 90% of the cases and significantly reduced reflux symptoms. In a single-blind study, children aged 0–24 months with clinically diagnosed gastroesophageal reflux disease were treated with 0.5, 1.0 or 1.5 mg omeprazole/kg. The frequency of vomiting/regurgitation episodes decreased by 50% after 8 weeks of treatment irrespective of the dose.</w:t>
      </w:r>
    </w:p>
    <w:p w14:paraId="100949C0" w14:textId="77777777" w:rsidR="00E61612" w:rsidRDefault="00E61612" w:rsidP="00CA0921">
      <w:pPr>
        <w:pStyle w:val="Default"/>
        <w:spacing w:line="360" w:lineRule="auto"/>
        <w:jc w:val="both"/>
        <w:rPr>
          <w:b/>
          <w:bCs/>
        </w:rPr>
      </w:pPr>
      <w:r w:rsidRPr="00CA0921">
        <w:rPr>
          <w:b/>
          <w:bCs/>
        </w:rPr>
        <w:t>5.2.   Pharmacokinetic properties:</w:t>
      </w:r>
    </w:p>
    <w:p w14:paraId="4F5F021F" w14:textId="77777777" w:rsidR="001D24E9" w:rsidRPr="00690A1B" w:rsidRDefault="001D24E9" w:rsidP="001D24E9">
      <w:pPr>
        <w:shd w:val="clear" w:color="auto" w:fill="FFFFFF"/>
        <w:spacing w:line="360" w:lineRule="auto"/>
        <w:jc w:val="both"/>
        <w:rPr>
          <w:b/>
          <w:color w:val="000000"/>
          <w:sz w:val="24"/>
          <w:szCs w:val="24"/>
        </w:rPr>
      </w:pPr>
      <w:r w:rsidRPr="00690A1B">
        <w:rPr>
          <w:b/>
          <w:color w:val="000000"/>
          <w:sz w:val="24"/>
          <w:szCs w:val="24"/>
          <w:u w:val="single"/>
        </w:rPr>
        <w:t>Absorption</w:t>
      </w:r>
      <w:r w:rsidRPr="00690A1B">
        <w:rPr>
          <w:b/>
          <w:color w:val="000000"/>
          <w:sz w:val="24"/>
          <w:szCs w:val="24"/>
        </w:rPr>
        <w:t>:</w:t>
      </w:r>
    </w:p>
    <w:p w14:paraId="0AE14205" w14:textId="77777777" w:rsidR="001D24E9" w:rsidRPr="000949D4" w:rsidRDefault="001D24E9" w:rsidP="001D24E9">
      <w:pPr>
        <w:shd w:val="clear" w:color="auto" w:fill="FFFFFF"/>
        <w:spacing w:line="360" w:lineRule="auto"/>
        <w:jc w:val="both"/>
        <w:rPr>
          <w:color w:val="000000"/>
          <w:sz w:val="24"/>
        </w:rPr>
      </w:pPr>
      <w:r w:rsidRPr="000949D4">
        <w:rPr>
          <w:color w:val="000000"/>
          <w:sz w:val="24"/>
        </w:rPr>
        <w:t xml:space="preserve">Omeprazole and omeprazole magnesium are acid labile and are therefore administered orally as enteric-coated granules in capsules or tablets. Absorption of omeprazole is rapid, with peak plasma levels occurring approximately 1-2 hours after dose. Absorption of omeprazole takes place in the small intestine and is usually completed within 3-6 hours. Concomitant intake of food has no influence on the bioavailability. The systemic availability </w:t>
      </w:r>
      <w:r w:rsidRPr="000949D4">
        <w:rPr>
          <w:color w:val="000000"/>
          <w:sz w:val="24"/>
        </w:rPr>
        <w:lastRenderedPageBreak/>
        <w:t>(bioavailability) from a single oral dose of omeprazole is approximately 40%. After repeated once-daily administration, the bioavailability increases to about 60%.</w:t>
      </w:r>
    </w:p>
    <w:p w14:paraId="7EAE7CB9" w14:textId="77777777" w:rsidR="001D24E9" w:rsidRPr="00690A1B" w:rsidRDefault="001D24E9" w:rsidP="001D24E9">
      <w:pPr>
        <w:shd w:val="clear" w:color="auto" w:fill="FFFFFF"/>
        <w:spacing w:line="360" w:lineRule="auto"/>
        <w:jc w:val="both"/>
        <w:rPr>
          <w:b/>
          <w:color w:val="000000"/>
          <w:sz w:val="24"/>
        </w:rPr>
      </w:pPr>
      <w:r w:rsidRPr="00690A1B">
        <w:rPr>
          <w:b/>
          <w:color w:val="000000"/>
          <w:sz w:val="24"/>
          <w:u w:val="single"/>
        </w:rPr>
        <w:t>Distribution</w:t>
      </w:r>
      <w:r w:rsidRPr="00690A1B">
        <w:rPr>
          <w:b/>
          <w:color w:val="000000"/>
          <w:sz w:val="24"/>
        </w:rPr>
        <w:t>:</w:t>
      </w:r>
    </w:p>
    <w:p w14:paraId="06F3CD48" w14:textId="77777777" w:rsidR="001D24E9" w:rsidRPr="000949D4" w:rsidRDefault="001D24E9" w:rsidP="001D24E9">
      <w:pPr>
        <w:shd w:val="clear" w:color="auto" w:fill="FFFFFF"/>
        <w:spacing w:line="360" w:lineRule="auto"/>
        <w:jc w:val="both"/>
        <w:rPr>
          <w:color w:val="000000"/>
          <w:sz w:val="24"/>
        </w:rPr>
      </w:pPr>
      <w:r w:rsidRPr="000949D4">
        <w:rPr>
          <w:color w:val="000000"/>
          <w:sz w:val="24"/>
        </w:rPr>
        <w:t>The apparent volume of distribution in healthy subjects is approximately 0.3 l/kg body weight. Omeprazole is 97% plasma protein bound.</w:t>
      </w:r>
    </w:p>
    <w:p w14:paraId="5216F13D" w14:textId="77777777" w:rsidR="001D24E9" w:rsidRPr="00690A1B" w:rsidRDefault="001D24E9" w:rsidP="001D24E9">
      <w:pPr>
        <w:shd w:val="clear" w:color="auto" w:fill="FFFFFF"/>
        <w:spacing w:line="360" w:lineRule="auto"/>
        <w:jc w:val="both"/>
        <w:rPr>
          <w:b/>
          <w:color w:val="000000"/>
          <w:sz w:val="24"/>
        </w:rPr>
      </w:pPr>
      <w:r w:rsidRPr="00690A1B">
        <w:rPr>
          <w:b/>
          <w:color w:val="000000"/>
          <w:sz w:val="24"/>
          <w:u w:val="single"/>
        </w:rPr>
        <w:t>Metabolism</w:t>
      </w:r>
      <w:r w:rsidRPr="00690A1B">
        <w:rPr>
          <w:b/>
          <w:color w:val="000000"/>
          <w:sz w:val="24"/>
        </w:rPr>
        <w:t>:</w:t>
      </w:r>
    </w:p>
    <w:p w14:paraId="55317FD5" w14:textId="77777777" w:rsidR="001D24E9" w:rsidRPr="000949D4" w:rsidRDefault="001D24E9" w:rsidP="001D24E9">
      <w:pPr>
        <w:shd w:val="clear" w:color="auto" w:fill="FFFFFF"/>
        <w:spacing w:line="360" w:lineRule="auto"/>
        <w:jc w:val="both"/>
        <w:rPr>
          <w:color w:val="000000"/>
          <w:sz w:val="24"/>
        </w:rPr>
      </w:pPr>
      <w:r w:rsidRPr="000949D4">
        <w:rPr>
          <w:color w:val="000000"/>
          <w:sz w:val="24"/>
        </w:rPr>
        <w:t>Omeprazole is completely metabolised by the cytochrome P</w:t>
      </w:r>
      <w:r w:rsidRPr="000949D4">
        <w:rPr>
          <w:color w:val="000000"/>
          <w:sz w:val="24"/>
          <w:vertAlign w:val="subscript"/>
        </w:rPr>
        <w:t>450</w:t>
      </w:r>
      <w:r w:rsidRPr="000949D4">
        <w:rPr>
          <w:color w:val="000000"/>
          <w:sz w:val="24"/>
        </w:rPr>
        <w:t xml:space="preserve"> system (CYP). The major part of its metabolism is dependent on the polymorphically expressed CYP2C19, responsible for the formation of </w:t>
      </w:r>
      <w:proofErr w:type="spellStart"/>
      <w:r w:rsidRPr="000949D4">
        <w:rPr>
          <w:color w:val="000000"/>
          <w:sz w:val="24"/>
        </w:rPr>
        <w:t>hydroxyomeprazole</w:t>
      </w:r>
      <w:proofErr w:type="spellEnd"/>
      <w:r w:rsidRPr="000949D4">
        <w:rPr>
          <w:color w:val="000000"/>
          <w:sz w:val="24"/>
        </w:rPr>
        <w:t>, the major metabolite in plasma. The remaining part is dependent on another specific isoform, CYP3A4, responsible for the formation of omeprazole sulphone. As a consequence of high affinity of omeprazole to CYP2C19, there is a potential for competitive inhibition and metabolic drug</w:t>
      </w:r>
      <w:r>
        <w:rPr>
          <w:color w:val="000000"/>
          <w:sz w:val="24"/>
        </w:rPr>
        <w:t>-</w:t>
      </w:r>
      <w:r w:rsidRPr="000949D4">
        <w:rPr>
          <w:color w:val="000000"/>
          <w:sz w:val="24"/>
        </w:rPr>
        <w:t>drug interactions with other substrates for CYP2C19. However, due to low affinity to CYP3A4, omeprazole has no potential to inhibit the metabolism of other CYP3A4 substrates. In addition, omeprazole lacks an inhibitory effect on the main CYP enzymes.</w:t>
      </w:r>
    </w:p>
    <w:p w14:paraId="670203F0" w14:textId="77777777" w:rsidR="001D24E9" w:rsidRPr="000949D4" w:rsidRDefault="001D24E9" w:rsidP="001D24E9">
      <w:pPr>
        <w:shd w:val="clear" w:color="auto" w:fill="FFFFFF"/>
        <w:spacing w:line="360" w:lineRule="auto"/>
        <w:jc w:val="both"/>
        <w:rPr>
          <w:color w:val="000000"/>
          <w:sz w:val="24"/>
        </w:rPr>
      </w:pPr>
      <w:r w:rsidRPr="000949D4">
        <w:rPr>
          <w:color w:val="000000"/>
          <w:sz w:val="24"/>
        </w:rPr>
        <w:t xml:space="preserve">Approximately 3% of the Caucasian population and 15-20% of Asian populations lack a functional CYP2C19 enzyme and are called poor </w:t>
      </w:r>
      <w:proofErr w:type="spellStart"/>
      <w:r w:rsidRPr="000949D4">
        <w:rPr>
          <w:color w:val="000000"/>
          <w:sz w:val="24"/>
        </w:rPr>
        <w:t>metabolisers</w:t>
      </w:r>
      <w:proofErr w:type="spellEnd"/>
      <w:r w:rsidRPr="000949D4">
        <w:rPr>
          <w:color w:val="000000"/>
          <w:sz w:val="24"/>
        </w:rPr>
        <w:t xml:space="preserve">. In such individuals the metabolism of omeprazole is probably mainly </w:t>
      </w:r>
      <w:proofErr w:type="spellStart"/>
      <w:r w:rsidRPr="000949D4">
        <w:rPr>
          <w:color w:val="000000"/>
          <w:sz w:val="24"/>
        </w:rPr>
        <w:t>catalysed</w:t>
      </w:r>
      <w:proofErr w:type="spellEnd"/>
      <w:r w:rsidRPr="000949D4">
        <w:rPr>
          <w:color w:val="000000"/>
          <w:sz w:val="24"/>
        </w:rPr>
        <w:t xml:space="preserve"> by CYP3A4. After repeated once-daily administration of 20 mg omeprazole, the mean AUC was 5 to 10 times higher in poor </w:t>
      </w:r>
      <w:proofErr w:type="spellStart"/>
      <w:r w:rsidRPr="000949D4">
        <w:rPr>
          <w:color w:val="000000"/>
          <w:sz w:val="24"/>
        </w:rPr>
        <w:t>metabolisers</w:t>
      </w:r>
      <w:proofErr w:type="spellEnd"/>
      <w:r w:rsidRPr="000949D4">
        <w:rPr>
          <w:color w:val="000000"/>
          <w:sz w:val="24"/>
        </w:rPr>
        <w:t xml:space="preserve"> than in subjects having a functional CYP2C19 enzyme (extensive </w:t>
      </w:r>
      <w:proofErr w:type="spellStart"/>
      <w:r w:rsidRPr="000949D4">
        <w:rPr>
          <w:color w:val="000000"/>
          <w:sz w:val="24"/>
        </w:rPr>
        <w:t>metabolisers</w:t>
      </w:r>
      <w:proofErr w:type="spellEnd"/>
      <w:r w:rsidRPr="000949D4">
        <w:rPr>
          <w:color w:val="000000"/>
          <w:sz w:val="24"/>
        </w:rPr>
        <w:t>). Mean peak plasma concentrations were also higher, by 3 to 5 times. These findings have no implications for the posology of omeprazole.</w:t>
      </w:r>
    </w:p>
    <w:p w14:paraId="535E0E2A" w14:textId="77777777" w:rsidR="001D24E9" w:rsidRDefault="001D24E9" w:rsidP="001D24E9">
      <w:pPr>
        <w:shd w:val="clear" w:color="auto" w:fill="FFFFFF"/>
        <w:spacing w:line="360" w:lineRule="auto"/>
        <w:jc w:val="both"/>
        <w:rPr>
          <w:b/>
          <w:color w:val="000000"/>
          <w:sz w:val="24"/>
          <w:u w:val="single"/>
        </w:rPr>
      </w:pPr>
    </w:p>
    <w:p w14:paraId="5A524463" w14:textId="77777777" w:rsidR="001D24E9" w:rsidRPr="00690A1B" w:rsidRDefault="001D24E9" w:rsidP="001D24E9">
      <w:pPr>
        <w:shd w:val="clear" w:color="auto" w:fill="FFFFFF"/>
        <w:spacing w:line="360" w:lineRule="auto"/>
        <w:jc w:val="both"/>
        <w:rPr>
          <w:b/>
          <w:color w:val="000000"/>
          <w:sz w:val="24"/>
        </w:rPr>
      </w:pPr>
      <w:r w:rsidRPr="00690A1B">
        <w:rPr>
          <w:b/>
          <w:color w:val="000000"/>
          <w:sz w:val="24"/>
          <w:u w:val="single"/>
        </w:rPr>
        <w:t>Excretion</w:t>
      </w:r>
      <w:r w:rsidRPr="00690A1B">
        <w:rPr>
          <w:b/>
          <w:color w:val="000000"/>
          <w:sz w:val="24"/>
        </w:rPr>
        <w:t>:</w:t>
      </w:r>
    </w:p>
    <w:p w14:paraId="21166FB8" w14:textId="77777777" w:rsidR="001D24E9" w:rsidRPr="000949D4" w:rsidRDefault="001D24E9" w:rsidP="001D24E9">
      <w:pPr>
        <w:shd w:val="clear" w:color="auto" w:fill="FFFFFF"/>
        <w:spacing w:line="360" w:lineRule="auto"/>
        <w:jc w:val="both"/>
        <w:rPr>
          <w:color w:val="000000"/>
          <w:sz w:val="24"/>
        </w:rPr>
      </w:pPr>
      <w:r w:rsidRPr="000949D4">
        <w:rPr>
          <w:color w:val="000000"/>
          <w:sz w:val="24"/>
        </w:rPr>
        <w:t xml:space="preserve">The plasma elimination half-life of omeprazole is usually shorter than one hour both after single and repeated oral once-daily dosing. Omeprazole is completely eliminated from plasma between doses with no tendency for accumulation during once-daily administration. Almost 80% of an oral dose of omeprazole is excreted as metabolites in the urine, the remainder in the </w:t>
      </w:r>
      <w:proofErr w:type="spellStart"/>
      <w:r w:rsidRPr="000949D4">
        <w:rPr>
          <w:color w:val="000000"/>
          <w:sz w:val="24"/>
        </w:rPr>
        <w:t>faeces</w:t>
      </w:r>
      <w:proofErr w:type="spellEnd"/>
      <w:r w:rsidRPr="000949D4">
        <w:rPr>
          <w:color w:val="000000"/>
          <w:sz w:val="24"/>
        </w:rPr>
        <w:t>, primarily originating from bile secretion.</w:t>
      </w:r>
    </w:p>
    <w:p w14:paraId="74C8B2F1" w14:textId="77777777" w:rsidR="001D24E9" w:rsidRPr="000949D4" w:rsidRDefault="001D24E9" w:rsidP="001D24E9">
      <w:pPr>
        <w:shd w:val="clear" w:color="auto" w:fill="FFFFFF"/>
        <w:spacing w:line="360" w:lineRule="auto"/>
        <w:jc w:val="both"/>
        <w:rPr>
          <w:color w:val="000000"/>
          <w:sz w:val="24"/>
        </w:rPr>
      </w:pPr>
      <w:r w:rsidRPr="000949D4">
        <w:rPr>
          <w:color w:val="000000"/>
          <w:sz w:val="24"/>
        </w:rPr>
        <w:lastRenderedPageBreak/>
        <w:t>The AUC of omeprazole increases with repeated administration. This increase is dose-dependent and results in a non-linear dose-AUC relationship after repeated administration. This time- and dose dependency is due to a decrease of first pass metabolism and systemic clearance probably caused by an inhibition of the CYP2C19 enzyme by omeprazole and/or its metabolites (e.g. the sulphone). No metabolite has been found to have any effect on gastric acid secretion.</w:t>
      </w:r>
    </w:p>
    <w:p w14:paraId="5285C43B" w14:textId="77777777" w:rsidR="001D24E9" w:rsidRPr="00690A1B" w:rsidRDefault="001D24E9" w:rsidP="001D24E9">
      <w:pPr>
        <w:shd w:val="clear" w:color="auto" w:fill="FFFFFF"/>
        <w:spacing w:line="360" w:lineRule="auto"/>
        <w:jc w:val="both"/>
        <w:rPr>
          <w:b/>
          <w:color w:val="000000"/>
          <w:sz w:val="24"/>
        </w:rPr>
      </w:pPr>
      <w:r w:rsidRPr="00690A1B">
        <w:rPr>
          <w:b/>
          <w:color w:val="000000"/>
          <w:sz w:val="24"/>
          <w:u w:val="single"/>
        </w:rPr>
        <w:t>Special populations:</w:t>
      </w:r>
    </w:p>
    <w:p w14:paraId="70C5EEDC" w14:textId="77777777" w:rsidR="001D24E9" w:rsidRPr="000949D4" w:rsidRDefault="001D24E9" w:rsidP="001D24E9">
      <w:pPr>
        <w:shd w:val="clear" w:color="auto" w:fill="FFFFFF"/>
        <w:spacing w:line="360" w:lineRule="auto"/>
        <w:jc w:val="both"/>
        <w:rPr>
          <w:color w:val="000000"/>
          <w:sz w:val="24"/>
        </w:rPr>
      </w:pPr>
      <w:r w:rsidRPr="000949D4">
        <w:rPr>
          <w:iCs/>
          <w:color w:val="000000"/>
          <w:sz w:val="24"/>
        </w:rPr>
        <w:t>Impaired hepatic function</w:t>
      </w:r>
    </w:p>
    <w:p w14:paraId="74696F8C" w14:textId="77777777" w:rsidR="001D24E9" w:rsidRPr="000949D4" w:rsidRDefault="001D24E9" w:rsidP="001D24E9">
      <w:pPr>
        <w:shd w:val="clear" w:color="auto" w:fill="FFFFFF"/>
        <w:spacing w:line="360" w:lineRule="auto"/>
        <w:jc w:val="both"/>
        <w:rPr>
          <w:color w:val="000000"/>
          <w:sz w:val="24"/>
        </w:rPr>
      </w:pPr>
      <w:r w:rsidRPr="000949D4">
        <w:rPr>
          <w:color w:val="000000"/>
          <w:sz w:val="24"/>
        </w:rPr>
        <w:t>The metabolism of omeprazole in patients with liver dysfunction is impaired, resulting in an increased AUC. Omeprazole has not shown any tendency to accumulate with once daily dosing.</w:t>
      </w:r>
    </w:p>
    <w:p w14:paraId="0BE930FE" w14:textId="77777777" w:rsidR="001D24E9" w:rsidRPr="000949D4" w:rsidRDefault="001D24E9" w:rsidP="001D24E9">
      <w:pPr>
        <w:shd w:val="clear" w:color="auto" w:fill="FFFFFF"/>
        <w:spacing w:line="360" w:lineRule="auto"/>
        <w:jc w:val="both"/>
        <w:rPr>
          <w:color w:val="000000"/>
          <w:sz w:val="24"/>
        </w:rPr>
      </w:pPr>
      <w:r w:rsidRPr="000949D4">
        <w:rPr>
          <w:iCs/>
          <w:color w:val="000000"/>
          <w:sz w:val="24"/>
        </w:rPr>
        <w:t>Impaired renal function:</w:t>
      </w:r>
    </w:p>
    <w:p w14:paraId="0C093FBE" w14:textId="77777777" w:rsidR="001D24E9" w:rsidRPr="000949D4" w:rsidRDefault="001D24E9" w:rsidP="001D24E9">
      <w:pPr>
        <w:shd w:val="clear" w:color="auto" w:fill="FFFFFF"/>
        <w:spacing w:line="360" w:lineRule="auto"/>
        <w:jc w:val="both"/>
        <w:rPr>
          <w:color w:val="000000"/>
          <w:sz w:val="24"/>
        </w:rPr>
      </w:pPr>
      <w:r w:rsidRPr="000949D4">
        <w:rPr>
          <w:color w:val="000000"/>
          <w:sz w:val="24"/>
        </w:rPr>
        <w:t>The pharmacokinetics of omeprazole, including systemic bioavailability and elimination rate, are unchanged in patients with reduced renal function.</w:t>
      </w:r>
    </w:p>
    <w:p w14:paraId="59DF09BA" w14:textId="77777777" w:rsidR="001D24E9" w:rsidRPr="000949D4" w:rsidRDefault="001D24E9" w:rsidP="001D24E9">
      <w:pPr>
        <w:shd w:val="clear" w:color="auto" w:fill="FFFFFF"/>
        <w:spacing w:line="360" w:lineRule="auto"/>
        <w:jc w:val="both"/>
        <w:rPr>
          <w:color w:val="000000"/>
          <w:sz w:val="24"/>
        </w:rPr>
      </w:pPr>
      <w:r w:rsidRPr="000949D4">
        <w:rPr>
          <w:iCs/>
          <w:color w:val="000000"/>
          <w:sz w:val="24"/>
        </w:rPr>
        <w:t>Elderly:</w:t>
      </w:r>
    </w:p>
    <w:p w14:paraId="5C851D21" w14:textId="77777777" w:rsidR="001D24E9" w:rsidRDefault="001D24E9" w:rsidP="001D24E9">
      <w:pPr>
        <w:shd w:val="clear" w:color="auto" w:fill="FFFFFF"/>
        <w:spacing w:line="360" w:lineRule="auto"/>
        <w:jc w:val="both"/>
        <w:rPr>
          <w:color w:val="000000"/>
          <w:sz w:val="24"/>
        </w:rPr>
      </w:pPr>
      <w:r w:rsidRPr="000949D4">
        <w:rPr>
          <w:color w:val="000000"/>
          <w:sz w:val="24"/>
        </w:rPr>
        <w:t>The metabolism rate of omeprazole is somewhat reduced in elderly subjects (75-79 years of age).</w:t>
      </w:r>
    </w:p>
    <w:p w14:paraId="79BB5ECA" w14:textId="77777777" w:rsidR="001D24E9" w:rsidRPr="00690A1B" w:rsidRDefault="001D24E9" w:rsidP="001D24E9">
      <w:pPr>
        <w:shd w:val="clear" w:color="auto" w:fill="FFFFFF"/>
        <w:spacing w:line="360" w:lineRule="auto"/>
        <w:jc w:val="both"/>
        <w:rPr>
          <w:b/>
          <w:color w:val="000000"/>
          <w:sz w:val="24"/>
        </w:rPr>
      </w:pPr>
      <w:r w:rsidRPr="00690A1B">
        <w:rPr>
          <w:b/>
          <w:iCs/>
          <w:color w:val="000000"/>
          <w:sz w:val="24"/>
        </w:rPr>
        <w:t>Paediatric patients:</w:t>
      </w:r>
    </w:p>
    <w:p w14:paraId="2430697D" w14:textId="77777777" w:rsidR="001D24E9" w:rsidRPr="00AC3F94" w:rsidRDefault="001D24E9" w:rsidP="00AC3F94">
      <w:pPr>
        <w:shd w:val="clear" w:color="auto" w:fill="FFFFFF"/>
        <w:spacing w:line="360" w:lineRule="auto"/>
        <w:jc w:val="both"/>
        <w:rPr>
          <w:color w:val="000000"/>
          <w:sz w:val="24"/>
        </w:rPr>
      </w:pPr>
      <w:r w:rsidRPr="000949D4">
        <w:rPr>
          <w:color w:val="000000"/>
          <w:sz w:val="24"/>
        </w:rPr>
        <w:t>During treatment with the recommended doses to children from the age of 1 year, similar plasma concentrations were obtained as compared to adults. In children younger than 6 months, clearance of omeprazole is low due to low cap</w:t>
      </w:r>
      <w:r w:rsidR="00AC3F94">
        <w:rPr>
          <w:color w:val="000000"/>
          <w:sz w:val="24"/>
        </w:rPr>
        <w:t xml:space="preserve">acity to </w:t>
      </w:r>
      <w:proofErr w:type="spellStart"/>
      <w:r w:rsidR="00AC3F94">
        <w:rPr>
          <w:color w:val="000000"/>
          <w:sz w:val="24"/>
        </w:rPr>
        <w:t>metabolise</w:t>
      </w:r>
      <w:proofErr w:type="spellEnd"/>
      <w:r w:rsidR="00AC3F94">
        <w:rPr>
          <w:color w:val="000000"/>
          <w:sz w:val="24"/>
        </w:rPr>
        <w:t xml:space="preserve"> omeprazole.</w:t>
      </w:r>
    </w:p>
    <w:p w14:paraId="704BAEDC" w14:textId="77777777" w:rsidR="00E61612" w:rsidRDefault="00E61612" w:rsidP="00CA0921">
      <w:pPr>
        <w:shd w:val="clear" w:color="auto" w:fill="FFFFFF"/>
        <w:spacing w:line="360" w:lineRule="auto"/>
        <w:jc w:val="both"/>
        <w:rPr>
          <w:b/>
          <w:bCs/>
          <w:sz w:val="24"/>
          <w:szCs w:val="24"/>
        </w:rPr>
      </w:pPr>
      <w:r w:rsidRPr="00CA0921">
        <w:rPr>
          <w:b/>
          <w:sz w:val="24"/>
          <w:szCs w:val="24"/>
        </w:rPr>
        <w:t xml:space="preserve">5.3.   </w:t>
      </w:r>
      <w:r w:rsidRPr="00CA0921">
        <w:rPr>
          <w:b/>
          <w:bCs/>
          <w:sz w:val="24"/>
          <w:szCs w:val="24"/>
        </w:rPr>
        <w:t>Preclinical safety data</w:t>
      </w:r>
    </w:p>
    <w:p w14:paraId="22800E95" w14:textId="77777777" w:rsidR="001D24E9" w:rsidRPr="00D33D49" w:rsidRDefault="001D24E9" w:rsidP="00D33D49">
      <w:pPr>
        <w:pStyle w:val="Default"/>
        <w:spacing w:line="360" w:lineRule="auto"/>
        <w:jc w:val="both"/>
        <w:rPr>
          <w:shd w:val="clear" w:color="auto" w:fill="FFFFFF"/>
        </w:rPr>
      </w:pPr>
      <w:r w:rsidRPr="00200973">
        <w:rPr>
          <w:shd w:val="clear" w:color="auto" w:fill="FFFFFF"/>
        </w:rPr>
        <w:t xml:space="preserve">Gastric ECL-cell hyperplasia and carcinoids have been observed in life-long studies in rats treated with omeprazole. These changes are the result of sustained </w:t>
      </w:r>
      <w:proofErr w:type="spellStart"/>
      <w:r w:rsidRPr="00200973">
        <w:rPr>
          <w:shd w:val="clear" w:color="auto" w:fill="FFFFFF"/>
        </w:rPr>
        <w:t>hypergastrinaemia</w:t>
      </w:r>
      <w:proofErr w:type="spellEnd"/>
      <w:r w:rsidRPr="00200973">
        <w:rPr>
          <w:shd w:val="clear" w:color="auto" w:fill="FFFFFF"/>
        </w:rPr>
        <w:t xml:space="preserve"> secondary to acid inhibition. Similar findings have been made after treatment with H</w:t>
      </w:r>
      <w:r w:rsidRPr="00200973">
        <w:rPr>
          <w:shd w:val="clear" w:color="auto" w:fill="FFFFFF"/>
          <w:vertAlign w:val="subscript"/>
        </w:rPr>
        <w:t>2</w:t>
      </w:r>
      <w:r w:rsidRPr="00200973">
        <w:rPr>
          <w:shd w:val="clear" w:color="auto" w:fill="FFFFFF"/>
        </w:rPr>
        <w:t>-receptor antagonists, proton pump inhibitors and after partial fundectomy. Thus, these changes are not from a direct effect of any individual active substance.</w:t>
      </w:r>
    </w:p>
    <w:p w14:paraId="25BC29E5" w14:textId="77777777" w:rsidR="00845947" w:rsidRPr="00CA0921" w:rsidRDefault="00E61612" w:rsidP="00CA0921">
      <w:pPr>
        <w:pStyle w:val="Default"/>
        <w:spacing w:line="360" w:lineRule="auto"/>
        <w:jc w:val="both"/>
        <w:rPr>
          <w:b/>
          <w:bCs/>
        </w:rPr>
      </w:pPr>
      <w:r w:rsidRPr="00CA0921">
        <w:rPr>
          <w:b/>
          <w:bCs/>
        </w:rPr>
        <w:t>6. Pharmaceutical particulars:</w:t>
      </w:r>
    </w:p>
    <w:p w14:paraId="3E9FFFC5" w14:textId="77777777" w:rsidR="00E61612" w:rsidRDefault="00E61612" w:rsidP="00CA0921">
      <w:pPr>
        <w:shd w:val="clear" w:color="auto" w:fill="FFFFFF"/>
        <w:spacing w:line="360" w:lineRule="auto"/>
        <w:jc w:val="both"/>
        <w:rPr>
          <w:i/>
          <w:iCs/>
          <w:sz w:val="24"/>
          <w:szCs w:val="24"/>
        </w:rPr>
      </w:pPr>
      <w:r w:rsidRPr="00CA0921">
        <w:rPr>
          <w:b/>
          <w:bCs/>
          <w:sz w:val="24"/>
          <w:szCs w:val="24"/>
        </w:rPr>
        <w:t>6.1. List of Excipients:</w:t>
      </w:r>
      <w:r w:rsidRPr="00CA0921">
        <w:rPr>
          <w:i/>
          <w:iCs/>
          <w:sz w:val="24"/>
          <w:szCs w:val="24"/>
        </w:rPr>
        <w:t xml:space="preserve"> </w:t>
      </w:r>
    </w:p>
    <w:p w14:paraId="1B2410A5" w14:textId="77777777" w:rsidR="00D33D49" w:rsidRPr="00D313BB" w:rsidRDefault="00D33D49" w:rsidP="00D33D49">
      <w:pPr>
        <w:pStyle w:val="Default"/>
        <w:spacing w:line="360" w:lineRule="auto"/>
        <w:jc w:val="both"/>
        <w:rPr>
          <w:bCs/>
        </w:rPr>
      </w:pPr>
      <w:r w:rsidRPr="00D313BB">
        <w:rPr>
          <w:bCs/>
        </w:rPr>
        <w:t>The list of excipients is as follows:</w:t>
      </w:r>
    </w:p>
    <w:p w14:paraId="519F48E1" w14:textId="77777777" w:rsidR="00D33D49" w:rsidRPr="00D33D49" w:rsidRDefault="00D33D49" w:rsidP="00D33D49">
      <w:pPr>
        <w:pStyle w:val="Default"/>
        <w:spacing w:after="60" w:line="360" w:lineRule="auto"/>
        <w:jc w:val="both"/>
      </w:pPr>
      <w:r>
        <w:lastRenderedPageBreak/>
        <w:t>Empty Hard Gelatin Capsule Shells Size “2”</w:t>
      </w:r>
    </w:p>
    <w:p w14:paraId="66BBCFC1" w14:textId="77777777" w:rsidR="00845947" w:rsidRPr="00CA0921" w:rsidRDefault="00E61612" w:rsidP="00CA0921">
      <w:pPr>
        <w:pStyle w:val="Default"/>
        <w:spacing w:line="360" w:lineRule="auto"/>
        <w:jc w:val="both"/>
      </w:pPr>
      <w:r w:rsidRPr="00CA0921">
        <w:rPr>
          <w:b/>
          <w:bCs/>
        </w:rPr>
        <w:t>6.2. Incompatibilities:</w:t>
      </w:r>
      <w:r w:rsidR="00845947" w:rsidRPr="00CA0921">
        <w:t xml:space="preserve"> </w:t>
      </w:r>
    </w:p>
    <w:p w14:paraId="4E1E0E28" w14:textId="77777777" w:rsidR="00E61612" w:rsidRPr="00CA0921" w:rsidRDefault="00845947" w:rsidP="00CA0921">
      <w:pPr>
        <w:pStyle w:val="Default"/>
        <w:spacing w:line="360" w:lineRule="auto"/>
        <w:jc w:val="both"/>
        <w:rPr>
          <w:bCs/>
        </w:rPr>
      </w:pPr>
      <w:r w:rsidRPr="00CA0921">
        <w:rPr>
          <w:bCs/>
        </w:rPr>
        <w:t>Not applicable</w:t>
      </w:r>
    </w:p>
    <w:p w14:paraId="7211F5B6" w14:textId="77777777" w:rsidR="00C960F1" w:rsidRDefault="00E61612" w:rsidP="00CA0921">
      <w:pPr>
        <w:pStyle w:val="Default"/>
        <w:spacing w:line="360" w:lineRule="auto"/>
        <w:jc w:val="both"/>
        <w:rPr>
          <w:bCs/>
        </w:rPr>
      </w:pPr>
      <w:r w:rsidRPr="00CA0921">
        <w:rPr>
          <w:b/>
          <w:bCs/>
        </w:rPr>
        <w:t>6.3. Shelf life:</w:t>
      </w:r>
      <w:r w:rsidRPr="00CA0921">
        <w:rPr>
          <w:bCs/>
        </w:rPr>
        <w:t xml:space="preserve"> </w:t>
      </w:r>
    </w:p>
    <w:p w14:paraId="360C3783" w14:textId="77777777" w:rsidR="00D33D49" w:rsidRPr="00D33D49" w:rsidRDefault="00D33D49" w:rsidP="00D33D49">
      <w:pPr>
        <w:tabs>
          <w:tab w:val="left" w:pos="720"/>
        </w:tabs>
        <w:spacing w:line="360" w:lineRule="auto"/>
        <w:rPr>
          <w:sz w:val="24"/>
          <w:szCs w:val="24"/>
        </w:rPr>
      </w:pPr>
      <w:r>
        <w:rPr>
          <w:sz w:val="24"/>
          <w:szCs w:val="24"/>
        </w:rPr>
        <w:t>36 months</w:t>
      </w:r>
    </w:p>
    <w:p w14:paraId="0DBA61C1" w14:textId="77777777" w:rsidR="00E61612" w:rsidRDefault="00E61612" w:rsidP="00CA0921">
      <w:pPr>
        <w:spacing w:line="360" w:lineRule="auto"/>
        <w:rPr>
          <w:b/>
          <w:bCs/>
          <w:sz w:val="24"/>
          <w:szCs w:val="24"/>
        </w:rPr>
      </w:pPr>
      <w:r w:rsidRPr="00CA0921">
        <w:rPr>
          <w:b/>
          <w:bCs/>
          <w:sz w:val="24"/>
          <w:szCs w:val="24"/>
        </w:rPr>
        <w:t>6.4. Special precautions for storage:</w:t>
      </w:r>
    </w:p>
    <w:p w14:paraId="4244CF54" w14:textId="77777777" w:rsidR="00D33D49" w:rsidRPr="00D33D49" w:rsidRDefault="00D33D49" w:rsidP="00D33D49">
      <w:pPr>
        <w:spacing w:after="60" w:line="360" w:lineRule="auto"/>
        <w:jc w:val="both"/>
        <w:rPr>
          <w:sz w:val="24"/>
          <w:szCs w:val="24"/>
        </w:rPr>
      </w:pPr>
      <w:r w:rsidRPr="00B10EFB">
        <w:rPr>
          <w:sz w:val="24"/>
          <w:szCs w:val="24"/>
        </w:rPr>
        <w:t xml:space="preserve">Store below 30ºC, </w:t>
      </w:r>
      <w:r>
        <w:rPr>
          <w:sz w:val="24"/>
          <w:szCs w:val="24"/>
        </w:rPr>
        <w:t xml:space="preserve">Keep </w:t>
      </w:r>
      <w:r w:rsidRPr="00B10EFB">
        <w:rPr>
          <w:sz w:val="24"/>
          <w:szCs w:val="24"/>
        </w:rPr>
        <w:t>away from light &amp; moisture.</w:t>
      </w:r>
    </w:p>
    <w:p w14:paraId="64D2956B" w14:textId="77777777" w:rsidR="00E61612" w:rsidRDefault="00E61612" w:rsidP="00D33D49">
      <w:pPr>
        <w:autoSpaceDE w:val="0"/>
        <w:autoSpaceDN w:val="0"/>
        <w:adjustRightInd w:val="0"/>
        <w:spacing w:line="360" w:lineRule="auto"/>
        <w:rPr>
          <w:b/>
          <w:bCs/>
          <w:sz w:val="24"/>
          <w:szCs w:val="24"/>
        </w:rPr>
      </w:pPr>
      <w:r w:rsidRPr="00CA0921">
        <w:rPr>
          <w:b/>
          <w:bCs/>
          <w:sz w:val="24"/>
          <w:szCs w:val="24"/>
        </w:rPr>
        <w:t xml:space="preserve">6.5. Nature and contents of container: </w:t>
      </w:r>
    </w:p>
    <w:p w14:paraId="7DBB03C8" w14:textId="77777777" w:rsidR="00D33D49" w:rsidRDefault="00D33D49" w:rsidP="00A01DE1">
      <w:pPr>
        <w:pStyle w:val="Header"/>
        <w:spacing w:line="360" w:lineRule="auto"/>
        <w:jc w:val="both"/>
        <w:rPr>
          <w:sz w:val="24"/>
          <w:szCs w:val="24"/>
        </w:rPr>
      </w:pPr>
      <w:r>
        <w:rPr>
          <w:sz w:val="24"/>
          <w:szCs w:val="24"/>
        </w:rPr>
        <w:t>Container type: 2</w:t>
      </w:r>
      <w:r w:rsidRPr="00B10EFB">
        <w:rPr>
          <w:sz w:val="24"/>
          <w:szCs w:val="24"/>
        </w:rPr>
        <w:t xml:space="preserve"> </w:t>
      </w:r>
      <w:r>
        <w:rPr>
          <w:sz w:val="24"/>
          <w:szCs w:val="24"/>
        </w:rPr>
        <w:t>x 7 Alu - Alu Blister</w:t>
      </w:r>
      <w:r w:rsidRPr="00B10EFB">
        <w:rPr>
          <w:sz w:val="24"/>
          <w:szCs w:val="24"/>
        </w:rPr>
        <w:t>.</w:t>
      </w:r>
    </w:p>
    <w:p w14:paraId="0A8D0EAA" w14:textId="77777777" w:rsidR="00E61612" w:rsidRPr="00CA0921" w:rsidRDefault="00E61612" w:rsidP="00CA0921">
      <w:pPr>
        <w:pStyle w:val="Default"/>
        <w:spacing w:line="360" w:lineRule="auto"/>
        <w:jc w:val="both"/>
        <w:rPr>
          <w:b/>
          <w:bCs/>
          <w:color w:val="auto"/>
        </w:rPr>
      </w:pPr>
      <w:r w:rsidRPr="00CA0921">
        <w:rPr>
          <w:b/>
          <w:bCs/>
        </w:rPr>
        <w:t xml:space="preserve">6.6. </w:t>
      </w:r>
      <w:r w:rsidRPr="00CA0921">
        <w:rPr>
          <w:b/>
          <w:bCs/>
          <w:color w:val="auto"/>
        </w:rPr>
        <w:t>Special precautions for disposal:</w:t>
      </w:r>
    </w:p>
    <w:p w14:paraId="60783EBC" w14:textId="77777777" w:rsidR="00E61612" w:rsidRPr="00CA0921" w:rsidRDefault="00E61612" w:rsidP="00CA0921">
      <w:pPr>
        <w:pStyle w:val="Header"/>
        <w:spacing w:line="360" w:lineRule="auto"/>
        <w:jc w:val="both"/>
        <w:rPr>
          <w:b/>
          <w:color w:val="000000"/>
          <w:sz w:val="24"/>
          <w:szCs w:val="24"/>
        </w:rPr>
      </w:pPr>
      <w:r w:rsidRPr="00CA0921">
        <w:rPr>
          <w:b/>
          <w:bCs/>
          <w:color w:val="000000"/>
          <w:sz w:val="24"/>
          <w:szCs w:val="24"/>
        </w:rPr>
        <w:t xml:space="preserve">7. </w:t>
      </w:r>
      <w:r w:rsidRPr="00CA0921">
        <w:rPr>
          <w:b/>
          <w:sz w:val="24"/>
          <w:szCs w:val="24"/>
        </w:rPr>
        <w:t>Applicant</w:t>
      </w:r>
      <w:r w:rsidRPr="00CA0921">
        <w:rPr>
          <w:b/>
          <w:bCs/>
          <w:color w:val="000000"/>
          <w:sz w:val="24"/>
          <w:szCs w:val="24"/>
        </w:rPr>
        <w:t>:</w:t>
      </w:r>
      <w:r w:rsidRPr="00CA0921">
        <w:rPr>
          <w:b/>
          <w:color w:val="000000"/>
          <w:sz w:val="24"/>
          <w:szCs w:val="24"/>
        </w:rPr>
        <w:t xml:space="preserve">    </w:t>
      </w:r>
    </w:p>
    <w:p w14:paraId="000BAE3C" w14:textId="77777777" w:rsidR="00E61612" w:rsidRDefault="00E61612" w:rsidP="00CA0921">
      <w:pPr>
        <w:spacing w:line="360" w:lineRule="auto"/>
        <w:jc w:val="both"/>
        <w:rPr>
          <w:rFonts w:eastAsia="Calibri"/>
          <w:b/>
          <w:sz w:val="24"/>
          <w:szCs w:val="24"/>
          <w:lang w:val="en-GB"/>
        </w:rPr>
      </w:pPr>
      <w:r w:rsidRPr="00CA0921">
        <w:rPr>
          <w:rFonts w:eastAsia="Calibri"/>
          <w:b/>
          <w:sz w:val="24"/>
          <w:szCs w:val="24"/>
          <w:lang w:val="en-GB"/>
        </w:rPr>
        <w:t xml:space="preserve">Name and Address of Applicant </w:t>
      </w:r>
    </w:p>
    <w:p w14:paraId="5B27D18B" w14:textId="77777777" w:rsidR="006A1F21" w:rsidRPr="00BF458D" w:rsidRDefault="006A1F21" w:rsidP="006A1F21">
      <w:pPr>
        <w:spacing w:line="360" w:lineRule="auto"/>
        <w:jc w:val="both"/>
        <w:rPr>
          <w:rFonts w:eastAsia="Calibri"/>
          <w:sz w:val="24"/>
          <w:szCs w:val="24"/>
          <w:highlight w:val="yellow"/>
          <w:lang w:val="en-GB"/>
        </w:rPr>
      </w:pPr>
      <w:r w:rsidRPr="0038209C">
        <w:rPr>
          <w:rFonts w:eastAsia="Calibri"/>
          <w:iCs/>
          <w:sz w:val="24"/>
          <w:szCs w:val="24"/>
        </w:rPr>
        <w:t>Pushkal Pharmaceutical Limited</w:t>
      </w:r>
      <w:r w:rsidRPr="007350E8">
        <w:rPr>
          <w:rFonts w:eastAsia="Calibri"/>
          <w:iCs/>
          <w:sz w:val="24"/>
          <w:szCs w:val="24"/>
        </w:rPr>
        <w:t>.</w:t>
      </w:r>
    </w:p>
    <w:p w14:paraId="219E9F9C" w14:textId="77777777" w:rsidR="006A1F21" w:rsidRPr="006A1F21" w:rsidRDefault="006A1F21" w:rsidP="00CA0921">
      <w:pPr>
        <w:spacing w:line="360" w:lineRule="auto"/>
        <w:jc w:val="both"/>
        <w:rPr>
          <w:rFonts w:eastAsia="Calibri"/>
          <w:sz w:val="24"/>
          <w:szCs w:val="24"/>
        </w:rPr>
      </w:pPr>
      <w:r w:rsidRPr="00300245">
        <w:rPr>
          <w:rFonts w:eastAsia="Calibri"/>
          <w:sz w:val="24"/>
          <w:szCs w:val="24"/>
          <w:lang w:val="en-GB"/>
        </w:rPr>
        <w:t>Plot 5, Block 1, Ota Industrial Estate, Ota, Ogun state – Nigeria.</w:t>
      </w:r>
    </w:p>
    <w:p w14:paraId="5D5DEA2E" w14:textId="77777777" w:rsidR="00E61612" w:rsidRPr="00CA0921" w:rsidRDefault="00E61612" w:rsidP="00CA0921">
      <w:pPr>
        <w:spacing w:line="360" w:lineRule="auto"/>
        <w:jc w:val="both"/>
        <w:rPr>
          <w:rFonts w:eastAsia="Calibri"/>
          <w:sz w:val="24"/>
          <w:szCs w:val="24"/>
          <w:lang w:val="en-GB"/>
        </w:rPr>
      </w:pPr>
      <w:r w:rsidRPr="00CA0921">
        <w:rPr>
          <w:rFonts w:eastAsia="Calibri"/>
          <w:b/>
          <w:sz w:val="24"/>
          <w:szCs w:val="24"/>
          <w:lang w:val="en-GB"/>
        </w:rPr>
        <w:t>Name and Address of manufacturer:</w:t>
      </w:r>
      <w:r w:rsidRPr="00CA0921">
        <w:rPr>
          <w:rFonts w:eastAsia="Calibri"/>
          <w:sz w:val="24"/>
          <w:szCs w:val="24"/>
          <w:lang w:val="en-GB"/>
        </w:rPr>
        <w:t xml:space="preserve"> </w:t>
      </w:r>
    </w:p>
    <w:p w14:paraId="76EDBDA0" w14:textId="77777777" w:rsidR="00E61612" w:rsidRPr="00CA0921" w:rsidRDefault="00E61612" w:rsidP="00CA0921">
      <w:pPr>
        <w:spacing w:line="360" w:lineRule="auto"/>
        <w:jc w:val="both"/>
        <w:rPr>
          <w:rFonts w:eastAsia="Calibri"/>
          <w:sz w:val="24"/>
          <w:szCs w:val="24"/>
          <w:lang w:val="en-GB"/>
        </w:rPr>
      </w:pPr>
      <w:r w:rsidRPr="00CA0921">
        <w:rPr>
          <w:rFonts w:eastAsia="Calibri"/>
          <w:sz w:val="24"/>
          <w:szCs w:val="24"/>
        </w:rPr>
        <w:t xml:space="preserve">M/s. </w:t>
      </w:r>
      <w:r w:rsidR="00692E46" w:rsidRPr="00CA0921">
        <w:rPr>
          <w:rFonts w:eastAsia="Calibri"/>
          <w:bCs/>
          <w:sz w:val="24"/>
          <w:szCs w:val="24"/>
        </w:rPr>
        <w:t>Bharat Parenterals Limited</w:t>
      </w:r>
    </w:p>
    <w:p w14:paraId="199097F1" w14:textId="77777777" w:rsidR="00E61612" w:rsidRPr="00CA0921" w:rsidRDefault="00E61612" w:rsidP="00CA0921">
      <w:pPr>
        <w:spacing w:line="360" w:lineRule="auto"/>
        <w:jc w:val="both"/>
        <w:rPr>
          <w:rFonts w:eastAsia="Calibri"/>
          <w:sz w:val="24"/>
          <w:szCs w:val="24"/>
        </w:rPr>
      </w:pPr>
      <w:r w:rsidRPr="00CA0921">
        <w:rPr>
          <w:rFonts w:eastAsia="Calibri"/>
          <w:sz w:val="24"/>
          <w:szCs w:val="24"/>
        </w:rPr>
        <w:t>Survey No. 144 &amp;146, Jarod Samlaya Road,</w:t>
      </w:r>
    </w:p>
    <w:p w14:paraId="5B21B2EB" w14:textId="77777777" w:rsidR="00E61612" w:rsidRPr="00CA0921" w:rsidRDefault="00E61612" w:rsidP="00CA0921">
      <w:pPr>
        <w:spacing w:line="360" w:lineRule="auto"/>
        <w:jc w:val="both"/>
        <w:rPr>
          <w:rFonts w:eastAsia="Calibri"/>
          <w:sz w:val="24"/>
          <w:szCs w:val="24"/>
        </w:rPr>
      </w:pPr>
      <w:r w:rsidRPr="00CA0921">
        <w:rPr>
          <w:rFonts w:eastAsia="Calibri"/>
          <w:sz w:val="24"/>
          <w:szCs w:val="24"/>
        </w:rPr>
        <w:t>Village: Haripura, Ta. Savli, Dist. Vadodara – 391520</w:t>
      </w:r>
    </w:p>
    <w:p w14:paraId="36D9CE51" w14:textId="77777777" w:rsidR="00E61612" w:rsidRPr="00CA0921" w:rsidRDefault="00E61612" w:rsidP="00CA0921">
      <w:pPr>
        <w:spacing w:line="360" w:lineRule="auto"/>
        <w:jc w:val="both"/>
        <w:rPr>
          <w:rFonts w:eastAsia="Calibri"/>
          <w:sz w:val="24"/>
          <w:szCs w:val="24"/>
        </w:rPr>
      </w:pPr>
      <w:r w:rsidRPr="00CA0921">
        <w:rPr>
          <w:rFonts w:eastAsia="Calibri"/>
          <w:sz w:val="24"/>
          <w:szCs w:val="24"/>
        </w:rPr>
        <w:t>Gujarat, INDIA.</w:t>
      </w:r>
    </w:p>
    <w:p w14:paraId="5CCCD74F" w14:textId="77777777" w:rsidR="00E61612" w:rsidRPr="00CA0921" w:rsidRDefault="00E61612" w:rsidP="00CA0921">
      <w:pPr>
        <w:spacing w:line="360" w:lineRule="auto"/>
        <w:jc w:val="both"/>
        <w:rPr>
          <w:rFonts w:eastAsia="Calibri"/>
          <w:sz w:val="24"/>
          <w:szCs w:val="24"/>
        </w:rPr>
      </w:pPr>
      <w:r w:rsidRPr="00CA0921">
        <w:rPr>
          <w:rFonts w:eastAsia="Calibri"/>
          <w:sz w:val="24"/>
          <w:szCs w:val="24"/>
        </w:rPr>
        <w:t>Tel.91-2667-251680</w:t>
      </w:r>
    </w:p>
    <w:p w14:paraId="396CE264" w14:textId="77777777" w:rsidR="00E61612" w:rsidRPr="00CA0921" w:rsidRDefault="00E61612" w:rsidP="00CA0921">
      <w:pPr>
        <w:spacing w:line="360" w:lineRule="auto"/>
        <w:jc w:val="both"/>
        <w:rPr>
          <w:rFonts w:eastAsia="Calibri"/>
          <w:sz w:val="24"/>
          <w:szCs w:val="24"/>
        </w:rPr>
      </w:pPr>
      <w:r w:rsidRPr="00CA0921">
        <w:rPr>
          <w:rFonts w:eastAsia="Calibri"/>
          <w:sz w:val="24"/>
          <w:szCs w:val="24"/>
        </w:rPr>
        <w:t>Fax: 91-2667-251679</w:t>
      </w:r>
    </w:p>
    <w:p w14:paraId="2135F75D" w14:textId="77777777" w:rsidR="00E61612" w:rsidRPr="00CA0921" w:rsidRDefault="00E61612" w:rsidP="00CA0921">
      <w:pPr>
        <w:spacing w:line="360" w:lineRule="auto"/>
        <w:jc w:val="both"/>
        <w:rPr>
          <w:rFonts w:eastAsia="Calibri"/>
          <w:sz w:val="24"/>
          <w:szCs w:val="24"/>
        </w:rPr>
      </w:pPr>
      <w:r w:rsidRPr="00CA0921">
        <w:rPr>
          <w:sz w:val="24"/>
          <w:szCs w:val="24"/>
          <w:lang w:val="en-GB"/>
        </w:rPr>
        <w:t>E-mail: ra@bplindia.in</w:t>
      </w:r>
    </w:p>
    <w:p w14:paraId="2E5F66E1" w14:textId="77777777" w:rsidR="00FD3B23" w:rsidRPr="00CA0921" w:rsidRDefault="00FD3B23" w:rsidP="00CA0921">
      <w:pPr>
        <w:spacing w:line="360" w:lineRule="auto"/>
        <w:rPr>
          <w:sz w:val="24"/>
          <w:szCs w:val="24"/>
        </w:rPr>
      </w:pPr>
    </w:p>
    <w:sectPr w:rsidR="00FD3B23" w:rsidRPr="00CA092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8B44D" w14:textId="77777777" w:rsidR="00AC344F" w:rsidRDefault="00AC344F" w:rsidP="00650538">
      <w:r>
        <w:separator/>
      </w:r>
    </w:p>
  </w:endnote>
  <w:endnote w:type="continuationSeparator" w:id="0">
    <w:p w14:paraId="24AE1B94" w14:textId="77777777" w:rsidR="00AC344F" w:rsidRDefault="00AC344F" w:rsidP="0065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A12A6" w14:textId="77777777" w:rsidR="00A01DE1" w:rsidRDefault="00A01D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5DBEC" w14:textId="77777777" w:rsidR="00AC344F" w:rsidRDefault="00AC344F" w:rsidP="00650538">
      <w:r>
        <w:separator/>
      </w:r>
    </w:p>
  </w:footnote>
  <w:footnote w:type="continuationSeparator" w:id="0">
    <w:p w14:paraId="2DA564C0" w14:textId="77777777" w:rsidR="00AC344F" w:rsidRDefault="00AC344F" w:rsidP="00650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4FE10" w14:textId="77777777" w:rsidR="00A01DE1" w:rsidRPr="00CD6619" w:rsidRDefault="00A01DE1" w:rsidP="00650538">
    <w:pPr>
      <w:tabs>
        <w:tab w:val="left" w:pos="3150"/>
        <w:tab w:val="left" w:pos="7830"/>
      </w:tabs>
      <w:ind w:right="-963"/>
      <w:rPr>
        <w:noProof/>
      </w:rPr>
    </w:pPr>
    <w:r>
      <w:rPr>
        <w:noProof/>
      </w:rPr>
      <w:drawing>
        <wp:inline distT="0" distB="0" distL="0" distR="0" wp14:anchorId="55B146AF" wp14:editId="0CF184A3">
          <wp:extent cx="876300" cy="733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733425"/>
                  </a:xfrm>
                  <a:prstGeom prst="rect">
                    <a:avLst/>
                  </a:prstGeom>
                  <a:noFill/>
                  <a:ln>
                    <a:noFill/>
                  </a:ln>
                </pic:spPr>
              </pic:pic>
            </a:graphicData>
          </a:graphic>
        </wp:inline>
      </w:drawing>
    </w:r>
    <w:r w:rsidRPr="00CD6619">
      <w:rPr>
        <w:noProof/>
      </w:rPr>
      <w:t xml:space="preserve">                                                             </w:t>
    </w:r>
    <w:r>
      <w:rPr>
        <w:noProof/>
      </w:rPr>
      <w:t xml:space="preserve">   </w:t>
    </w:r>
    <w:r w:rsidRPr="00CD6619">
      <w:rPr>
        <w:noProof/>
      </w:rPr>
      <w:t xml:space="preserve">        </w:t>
    </w:r>
    <w:r>
      <w:rPr>
        <w:noProof/>
      </w:rPr>
      <w:drawing>
        <wp:inline distT="0" distB="0" distL="0" distR="0" wp14:anchorId="287A2B9F" wp14:editId="71E83465">
          <wp:extent cx="2724150" cy="73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24150" cy="733425"/>
                  </a:xfrm>
                  <a:prstGeom prst="rect">
                    <a:avLst/>
                  </a:prstGeom>
                  <a:noFill/>
                  <a:ln>
                    <a:noFill/>
                  </a:ln>
                </pic:spPr>
              </pic:pic>
            </a:graphicData>
          </a:graphic>
        </wp:inline>
      </w:drawing>
    </w:r>
  </w:p>
  <w:p w14:paraId="61138906" w14:textId="77777777" w:rsidR="00A01DE1" w:rsidRPr="00CD6619" w:rsidRDefault="00A01DE1" w:rsidP="00650538">
    <w:pPr>
      <w:tabs>
        <w:tab w:val="left" w:pos="0"/>
        <w:tab w:val="center" w:pos="4320"/>
        <w:tab w:val="right" w:pos="8910"/>
        <w:tab w:val="left" w:pos="9270"/>
      </w:tabs>
      <w:ind w:right="288"/>
      <w:rPr>
        <w:b/>
        <w:color w:val="000000"/>
        <w:sz w:val="24"/>
        <w:szCs w:val="24"/>
      </w:rPr>
    </w:pPr>
    <w:r w:rsidRPr="00CD6619">
      <w:rPr>
        <w:b/>
        <w:color w:val="000000"/>
        <w:sz w:val="24"/>
        <w:szCs w:val="24"/>
      </w:rPr>
      <w:tab/>
      <w:t xml:space="preserve">                                                                                                                            </w:t>
    </w:r>
  </w:p>
  <w:p w14:paraId="457C8385" w14:textId="77777777" w:rsidR="00A01DE1" w:rsidRPr="00A454DE" w:rsidRDefault="00A01DE1" w:rsidP="00650538">
    <w:pPr>
      <w:spacing w:line="220" w:lineRule="exact"/>
      <w:rPr>
        <w:b/>
        <w:sz w:val="24"/>
        <w:szCs w:val="24"/>
      </w:rPr>
    </w:pPr>
    <w:r>
      <w:rPr>
        <w:b/>
        <w:sz w:val="24"/>
        <w:szCs w:val="24"/>
      </w:rPr>
      <w:t>SUMMARY OF PRODUCT CHARACTERISTICS (SmPC)</w:t>
    </w:r>
  </w:p>
  <w:p w14:paraId="54CE6513" w14:textId="77777777" w:rsidR="00A01DE1" w:rsidRPr="00CD6619" w:rsidRDefault="00A01DE1" w:rsidP="00650538">
    <w:pPr>
      <w:pBdr>
        <w:top w:val="thinThickSmallGap" w:sz="24" w:space="1" w:color="auto"/>
      </w:pBdr>
      <w:tabs>
        <w:tab w:val="left" w:pos="9000"/>
      </w:tabs>
      <w:ind w:right="27"/>
      <w:rPr>
        <w:sz w:val="2"/>
      </w:rPr>
    </w:pPr>
    <w:r w:rsidRPr="00CD6619">
      <w:rPr>
        <w:b/>
        <w:color w:val="000000"/>
        <w:sz w:val="24"/>
        <w:szCs w:val="24"/>
      </w:rPr>
      <w:t xml:space="preserve">                             </w:t>
    </w:r>
  </w:p>
  <w:p w14:paraId="0D0868FD" w14:textId="77777777" w:rsidR="00A01DE1" w:rsidRDefault="00A01D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5B0C"/>
    <w:multiLevelType w:val="hybridMultilevel"/>
    <w:tmpl w:val="328A2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A2E5F"/>
    <w:multiLevelType w:val="hybridMultilevel"/>
    <w:tmpl w:val="5F06C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E60EA6"/>
    <w:multiLevelType w:val="hybridMultilevel"/>
    <w:tmpl w:val="0D8AE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1D593D"/>
    <w:multiLevelType w:val="hybridMultilevel"/>
    <w:tmpl w:val="F22AC978"/>
    <w:lvl w:ilvl="0" w:tplc="04090001">
      <w:start w:val="1"/>
      <w:numFmt w:val="bullet"/>
      <w:lvlText w:val=""/>
      <w:lvlJc w:val="left"/>
      <w:pPr>
        <w:ind w:left="720" w:hanging="360"/>
      </w:pPr>
      <w:rPr>
        <w:rFonts w:ascii="Symbol" w:hAnsi="Symbol" w:hint="default"/>
      </w:rPr>
    </w:lvl>
    <w:lvl w:ilvl="1" w:tplc="9B68550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66557"/>
    <w:multiLevelType w:val="hybridMultilevel"/>
    <w:tmpl w:val="EA60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65C2E"/>
    <w:multiLevelType w:val="multilevel"/>
    <w:tmpl w:val="55563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8637F2"/>
    <w:multiLevelType w:val="hybridMultilevel"/>
    <w:tmpl w:val="1DCC7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DB63881"/>
    <w:multiLevelType w:val="hybridMultilevel"/>
    <w:tmpl w:val="C2888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F769A5"/>
    <w:multiLevelType w:val="hybridMultilevel"/>
    <w:tmpl w:val="053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993F4F"/>
    <w:multiLevelType w:val="hybridMultilevel"/>
    <w:tmpl w:val="F5509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C55DEF"/>
    <w:multiLevelType w:val="hybridMultilevel"/>
    <w:tmpl w:val="AE907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F21F1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B1B1548"/>
    <w:multiLevelType w:val="hybridMultilevel"/>
    <w:tmpl w:val="293C308A"/>
    <w:lvl w:ilvl="0" w:tplc="EA80BB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CA37E3"/>
    <w:multiLevelType w:val="hybridMultilevel"/>
    <w:tmpl w:val="51B88BD6"/>
    <w:lvl w:ilvl="0" w:tplc="EA80BB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D04A5A"/>
    <w:multiLevelType w:val="multilevel"/>
    <w:tmpl w:val="BE345CD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86F702D"/>
    <w:multiLevelType w:val="hybridMultilevel"/>
    <w:tmpl w:val="56A6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686C69"/>
    <w:multiLevelType w:val="multilevel"/>
    <w:tmpl w:val="71AA0B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31D754BA"/>
    <w:multiLevelType w:val="multilevel"/>
    <w:tmpl w:val="A7C0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8E242C"/>
    <w:multiLevelType w:val="hybridMultilevel"/>
    <w:tmpl w:val="2D72E70E"/>
    <w:lvl w:ilvl="0" w:tplc="A0D242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5E4CD1"/>
    <w:multiLevelType w:val="hybridMultilevel"/>
    <w:tmpl w:val="0C626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46B28F9"/>
    <w:multiLevelType w:val="multilevel"/>
    <w:tmpl w:val="03320B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9390B3A"/>
    <w:multiLevelType w:val="hybridMultilevel"/>
    <w:tmpl w:val="C756C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6B18B3"/>
    <w:multiLevelType w:val="hybridMultilevel"/>
    <w:tmpl w:val="0D2CA3F4"/>
    <w:lvl w:ilvl="0" w:tplc="04090001">
      <w:start w:val="1"/>
      <w:numFmt w:val="bullet"/>
      <w:lvlText w:val=""/>
      <w:lvlJc w:val="left"/>
      <w:pPr>
        <w:ind w:left="720" w:hanging="360"/>
      </w:pPr>
      <w:rPr>
        <w:rFonts w:ascii="Symbol" w:hAnsi="Symbol" w:hint="default"/>
      </w:rPr>
    </w:lvl>
    <w:lvl w:ilvl="1" w:tplc="587E546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6F2909"/>
    <w:multiLevelType w:val="hybridMultilevel"/>
    <w:tmpl w:val="FBD6E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F1F4037"/>
    <w:multiLevelType w:val="multilevel"/>
    <w:tmpl w:val="A2622428"/>
    <w:lvl w:ilvl="0">
      <w:start w:val="1"/>
      <w:numFmt w:val="bullet"/>
      <w:lvlText w:val=""/>
      <w:lvlJc w:val="left"/>
      <w:pPr>
        <w:tabs>
          <w:tab w:val="num" w:pos="360"/>
        </w:tabs>
        <w:ind w:left="360" w:hanging="360"/>
      </w:pPr>
      <w:rPr>
        <w:rFonts w:ascii="Symbol" w:hAnsi="Symbol" w:hint="default"/>
        <w:sz w:val="20"/>
      </w:rPr>
    </w:lvl>
    <w:lvl w:ilvl="1">
      <w:start w:val="3"/>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15:restartNumberingAfterBreak="0">
    <w:nsid w:val="3F485B48"/>
    <w:multiLevelType w:val="multilevel"/>
    <w:tmpl w:val="6BC290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425F0ADA"/>
    <w:multiLevelType w:val="hybridMultilevel"/>
    <w:tmpl w:val="DAE6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0C5BA8"/>
    <w:multiLevelType w:val="hybridMultilevel"/>
    <w:tmpl w:val="251C1582"/>
    <w:lvl w:ilvl="0" w:tplc="EA80BB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64213D"/>
    <w:multiLevelType w:val="hybridMultilevel"/>
    <w:tmpl w:val="0576025A"/>
    <w:lvl w:ilvl="0" w:tplc="EA80BB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C10901"/>
    <w:multiLevelType w:val="hybridMultilevel"/>
    <w:tmpl w:val="3EF0F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4F53964"/>
    <w:multiLevelType w:val="hybridMultilevel"/>
    <w:tmpl w:val="BD107FA6"/>
    <w:lvl w:ilvl="0" w:tplc="A0D242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971275A"/>
    <w:multiLevelType w:val="hybridMultilevel"/>
    <w:tmpl w:val="7DF21EC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58DF27B9"/>
    <w:multiLevelType w:val="hybridMultilevel"/>
    <w:tmpl w:val="16F2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DF5504"/>
    <w:multiLevelType w:val="hybridMultilevel"/>
    <w:tmpl w:val="9B36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C61581"/>
    <w:multiLevelType w:val="multilevel"/>
    <w:tmpl w:val="A7C0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D6239C"/>
    <w:multiLevelType w:val="hybridMultilevel"/>
    <w:tmpl w:val="9FB0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412AC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70D73DF6"/>
    <w:multiLevelType w:val="multilevel"/>
    <w:tmpl w:val="AAD40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683AD9"/>
    <w:multiLevelType w:val="hybridMultilevel"/>
    <w:tmpl w:val="92AC5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58D735F"/>
    <w:multiLevelType w:val="hybridMultilevel"/>
    <w:tmpl w:val="9ED60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9A86FFF"/>
    <w:multiLevelType w:val="hybridMultilevel"/>
    <w:tmpl w:val="A1EE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2C4FB1"/>
    <w:multiLevelType w:val="hybridMultilevel"/>
    <w:tmpl w:val="0A3AAB72"/>
    <w:lvl w:ilvl="0" w:tplc="EA80BB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BA73FF"/>
    <w:multiLevelType w:val="hybridMultilevel"/>
    <w:tmpl w:val="BD3C1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0C3269"/>
    <w:multiLevelType w:val="hybridMultilevel"/>
    <w:tmpl w:val="44920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C2867A3"/>
    <w:multiLevelType w:val="multilevel"/>
    <w:tmpl w:val="A7C0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2F1E85"/>
    <w:multiLevelType w:val="multilevel"/>
    <w:tmpl w:val="A7C0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C637E5"/>
    <w:multiLevelType w:val="hybridMultilevel"/>
    <w:tmpl w:val="8070B20C"/>
    <w:lvl w:ilvl="0" w:tplc="EA80BB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DD3411"/>
    <w:multiLevelType w:val="multilevel"/>
    <w:tmpl w:val="623400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8" w15:restartNumberingAfterBreak="0">
    <w:nsid w:val="7F7205B0"/>
    <w:multiLevelType w:val="multilevel"/>
    <w:tmpl w:val="7DF6DFD6"/>
    <w:lvl w:ilvl="0">
      <w:start w:val="1"/>
      <w:numFmt w:val="decimal"/>
      <w:lvlText w:val="%1.0"/>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8"/>
  </w:num>
  <w:num w:numId="2">
    <w:abstractNumId w:val="14"/>
  </w:num>
  <w:num w:numId="3">
    <w:abstractNumId w:val="22"/>
  </w:num>
  <w:num w:numId="4">
    <w:abstractNumId w:val="2"/>
  </w:num>
  <w:num w:numId="5">
    <w:abstractNumId w:val="46"/>
  </w:num>
  <w:num w:numId="6">
    <w:abstractNumId w:val="39"/>
  </w:num>
  <w:num w:numId="7">
    <w:abstractNumId w:val="15"/>
  </w:num>
  <w:num w:numId="8">
    <w:abstractNumId w:val="28"/>
  </w:num>
  <w:num w:numId="9">
    <w:abstractNumId w:val="41"/>
  </w:num>
  <w:num w:numId="10">
    <w:abstractNumId w:val="12"/>
  </w:num>
  <w:num w:numId="11">
    <w:abstractNumId w:val="43"/>
  </w:num>
  <w:num w:numId="12">
    <w:abstractNumId w:val="29"/>
  </w:num>
  <w:num w:numId="13">
    <w:abstractNumId w:val="4"/>
  </w:num>
  <w:num w:numId="14">
    <w:abstractNumId w:val="13"/>
  </w:num>
  <w:num w:numId="15">
    <w:abstractNumId w:val="27"/>
  </w:num>
  <w:num w:numId="16">
    <w:abstractNumId w:val="9"/>
  </w:num>
  <w:num w:numId="17">
    <w:abstractNumId w:val="7"/>
  </w:num>
  <w:num w:numId="18">
    <w:abstractNumId w:val="38"/>
  </w:num>
  <w:num w:numId="19">
    <w:abstractNumId w:val="1"/>
  </w:num>
  <w:num w:numId="20">
    <w:abstractNumId w:val="0"/>
  </w:num>
  <w:num w:numId="21">
    <w:abstractNumId w:val="23"/>
  </w:num>
  <w:num w:numId="22">
    <w:abstractNumId w:val="21"/>
  </w:num>
  <w:num w:numId="23">
    <w:abstractNumId w:val="3"/>
  </w:num>
  <w:num w:numId="24">
    <w:abstractNumId w:val="10"/>
  </w:num>
  <w:num w:numId="25">
    <w:abstractNumId w:val="18"/>
  </w:num>
  <w:num w:numId="26">
    <w:abstractNumId w:val="30"/>
  </w:num>
  <w:num w:numId="27">
    <w:abstractNumId w:val="19"/>
  </w:num>
  <w:num w:numId="28">
    <w:abstractNumId w:val="32"/>
  </w:num>
  <w:num w:numId="29">
    <w:abstractNumId w:val="26"/>
  </w:num>
  <w:num w:numId="30">
    <w:abstractNumId w:val="35"/>
  </w:num>
  <w:num w:numId="31">
    <w:abstractNumId w:val="25"/>
  </w:num>
  <w:num w:numId="32">
    <w:abstractNumId w:val="37"/>
  </w:num>
  <w:num w:numId="33">
    <w:abstractNumId w:val="42"/>
  </w:num>
  <w:num w:numId="34">
    <w:abstractNumId w:val="6"/>
  </w:num>
  <w:num w:numId="35">
    <w:abstractNumId w:val="40"/>
  </w:num>
  <w:num w:numId="36">
    <w:abstractNumId w:val="31"/>
  </w:num>
  <w:num w:numId="37">
    <w:abstractNumId w:val="33"/>
  </w:num>
  <w:num w:numId="38">
    <w:abstractNumId w:val="8"/>
  </w:num>
  <w:num w:numId="39">
    <w:abstractNumId w:val="5"/>
  </w:num>
  <w:num w:numId="40">
    <w:abstractNumId w:val="47"/>
  </w:num>
  <w:num w:numId="41">
    <w:abstractNumId w:val="20"/>
  </w:num>
  <w:num w:numId="42">
    <w:abstractNumId w:val="24"/>
  </w:num>
  <w:num w:numId="43">
    <w:abstractNumId w:val="16"/>
  </w:num>
  <w:num w:numId="44">
    <w:abstractNumId w:val="45"/>
  </w:num>
  <w:num w:numId="45">
    <w:abstractNumId w:val="44"/>
  </w:num>
  <w:num w:numId="46">
    <w:abstractNumId w:val="11"/>
  </w:num>
  <w:num w:numId="47">
    <w:abstractNumId w:val="34"/>
  </w:num>
  <w:num w:numId="48">
    <w:abstractNumId w:val="17"/>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4EC"/>
    <w:rsid w:val="00034B10"/>
    <w:rsid w:val="00054F62"/>
    <w:rsid w:val="00055FBB"/>
    <w:rsid w:val="000C1F98"/>
    <w:rsid w:val="000C2F99"/>
    <w:rsid w:val="001500E1"/>
    <w:rsid w:val="001861FC"/>
    <w:rsid w:val="001D24E9"/>
    <w:rsid w:val="001E61A9"/>
    <w:rsid w:val="002C3891"/>
    <w:rsid w:val="002E2798"/>
    <w:rsid w:val="003A40A3"/>
    <w:rsid w:val="003E4CD4"/>
    <w:rsid w:val="00417A56"/>
    <w:rsid w:val="00463783"/>
    <w:rsid w:val="004A2B5F"/>
    <w:rsid w:val="005534EC"/>
    <w:rsid w:val="00650538"/>
    <w:rsid w:val="00692E46"/>
    <w:rsid w:val="006A1F21"/>
    <w:rsid w:val="00723812"/>
    <w:rsid w:val="007E215D"/>
    <w:rsid w:val="007F1930"/>
    <w:rsid w:val="0083207E"/>
    <w:rsid w:val="00845947"/>
    <w:rsid w:val="00846DA1"/>
    <w:rsid w:val="008876FA"/>
    <w:rsid w:val="008C79D9"/>
    <w:rsid w:val="008F652C"/>
    <w:rsid w:val="00936AA3"/>
    <w:rsid w:val="009656A8"/>
    <w:rsid w:val="00A01DE1"/>
    <w:rsid w:val="00AC344F"/>
    <w:rsid w:val="00AC3F94"/>
    <w:rsid w:val="00AD4BDE"/>
    <w:rsid w:val="00AE3C3D"/>
    <w:rsid w:val="00B65888"/>
    <w:rsid w:val="00BE1637"/>
    <w:rsid w:val="00C36CDD"/>
    <w:rsid w:val="00C938C9"/>
    <w:rsid w:val="00C960F1"/>
    <w:rsid w:val="00CA0036"/>
    <w:rsid w:val="00CA0921"/>
    <w:rsid w:val="00D33D49"/>
    <w:rsid w:val="00DC6169"/>
    <w:rsid w:val="00DF6809"/>
    <w:rsid w:val="00E61612"/>
    <w:rsid w:val="00E958D1"/>
    <w:rsid w:val="00EE01EA"/>
    <w:rsid w:val="00EE591C"/>
    <w:rsid w:val="00F06EB4"/>
    <w:rsid w:val="00FD3B2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4C92E"/>
  <w15:docId w15:val="{9A5360A7-853E-4E29-9197-2785DE337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538"/>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qFormat/>
    <w:rsid w:val="002E2798"/>
    <w:pPr>
      <w:keepNext/>
      <w:tabs>
        <w:tab w:val="left" w:pos="0"/>
      </w:tabs>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r Char Char Char Char Char Char Char Char Char Char Char Char Char Char Char Char Char Char Char Char Char Char Char Char Char Char Char Char Char Char Char Char Char Char Char Char Char Char Char Char Char Char Char,Char, , 1"/>
    <w:basedOn w:val="Normal"/>
    <w:link w:val="HeaderChar"/>
    <w:unhideWhenUsed/>
    <w:qFormat/>
    <w:rsid w:val="00650538"/>
    <w:pPr>
      <w:tabs>
        <w:tab w:val="center" w:pos="4680"/>
        <w:tab w:val="right" w:pos="9360"/>
      </w:tabs>
    </w:pPr>
  </w:style>
  <w:style w:type="character" w:customStyle="1" w:styleId="HeaderChar">
    <w:name w:val="Header Char"/>
    <w:aliases w:val=" Char Char,Char Char,  Char, 1 Char"/>
    <w:basedOn w:val="DefaultParagraphFont"/>
    <w:link w:val="Header"/>
    <w:rsid w:val="00650538"/>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650538"/>
    <w:pPr>
      <w:tabs>
        <w:tab w:val="center" w:pos="4680"/>
        <w:tab w:val="right" w:pos="9360"/>
      </w:tabs>
    </w:pPr>
  </w:style>
  <w:style w:type="character" w:customStyle="1" w:styleId="FooterChar">
    <w:name w:val="Footer Char"/>
    <w:basedOn w:val="DefaultParagraphFont"/>
    <w:link w:val="Footer"/>
    <w:uiPriority w:val="99"/>
    <w:rsid w:val="00650538"/>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650538"/>
    <w:rPr>
      <w:rFonts w:ascii="Tahoma" w:hAnsi="Tahoma" w:cs="Tahoma"/>
      <w:sz w:val="16"/>
      <w:szCs w:val="16"/>
    </w:rPr>
  </w:style>
  <w:style w:type="character" w:customStyle="1" w:styleId="BalloonTextChar">
    <w:name w:val="Balloon Text Char"/>
    <w:basedOn w:val="DefaultParagraphFont"/>
    <w:link w:val="BalloonText"/>
    <w:uiPriority w:val="99"/>
    <w:semiHidden/>
    <w:rsid w:val="00650538"/>
    <w:rPr>
      <w:rFonts w:ascii="Tahoma" w:eastAsia="Times New Roman" w:hAnsi="Tahoma" w:cs="Tahoma"/>
      <w:sz w:val="16"/>
      <w:szCs w:val="16"/>
      <w:lang w:val="en-US"/>
    </w:rPr>
  </w:style>
  <w:style w:type="paragraph" w:styleId="PlainText">
    <w:name w:val="Plain Text"/>
    <w:basedOn w:val="Normal"/>
    <w:link w:val="PlainTextChar"/>
    <w:rsid w:val="00650538"/>
    <w:pPr>
      <w:suppressAutoHyphens/>
    </w:pPr>
    <w:rPr>
      <w:rFonts w:ascii="Courier New" w:hAnsi="Courier New"/>
      <w:lang w:val="x-none" w:eastAsia="ar-SA"/>
    </w:rPr>
  </w:style>
  <w:style w:type="character" w:customStyle="1" w:styleId="PlainTextChar">
    <w:name w:val="Plain Text Char"/>
    <w:basedOn w:val="DefaultParagraphFont"/>
    <w:link w:val="PlainText"/>
    <w:rsid w:val="00650538"/>
    <w:rPr>
      <w:rFonts w:ascii="Courier New" w:eastAsia="Times New Roman" w:hAnsi="Courier New" w:cs="Times New Roman"/>
      <w:sz w:val="20"/>
      <w:szCs w:val="20"/>
      <w:lang w:val="x-none" w:eastAsia="ar-SA"/>
    </w:rPr>
  </w:style>
  <w:style w:type="paragraph" w:customStyle="1" w:styleId="Default">
    <w:name w:val="Default"/>
    <w:rsid w:val="0065053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650538"/>
    <w:pPr>
      <w:ind w:left="720"/>
      <w:contextualSpacing/>
    </w:pPr>
  </w:style>
  <w:style w:type="paragraph" w:styleId="NormalWeb">
    <w:name w:val="Normal (Web)"/>
    <w:basedOn w:val="Normal"/>
    <w:uiPriority w:val="99"/>
    <w:unhideWhenUsed/>
    <w:rsid w:val="00650538"/>
    <w:pPr>
      <w:spacing w:before="100" w:beforeAutospacing="1" w:after="100" w:afterAutospacing="1"/>
    </w:pPr>
    <w:rPr>
      <w:sz w:val="24"/>
      <w:szCs w:val="24"/>
    </w:rPr>
  </w:style>
  <w:style w:type="paragraph" w:styleId="BodyText">
    <w:name w:val="Body Text"/>
    <w:basedOn w:val="Normal"/>
    <w:link w:val="BodyTextChar"/>
    <w:rsid w:val="00650538"/>
    <w:rPr>
      <w:rFonts w:ascii="Arial" w:hAnsi="Arial"/>
      <w:b/>
      <w:sz w:val="24"/>
    </w:rPr>
  </w:style>
  <w:style w:type="character" w:customStyle="1" w:styleId="BodyTextChar">
    <w:name w:val="Body Text Char"/>
    <w:basedOn w:val="DefaultParagraphFont"/>
    <w:link w:val="BodyText"/>
    <w:rsid w:val="00650538"/>
    <w:rPr>
      <w:rFonts w:ascii="Arial" w:eastAsia="Times New Roman" w:hAnsi="Arial" w:cs="Times New Roman"/>
      <w:b/>
      <w:sz w:val="24"/>
      <w:szCs w:val="20"/>
      <w:lang w:val="en-US"/>
    </w:rPr>
  </w:style>
  <w:style w:type="paragraph" w:customStyle="1" w:styleId="H5">
    <w:name w:val="H5"/>
    <w:basedOn w:val="Normal"/>
    <w:next w:val="Normal"/>
    <w:rsid w:val="00650538"/>
    <w:pPr>
      <w:keepNext/>
      <w:spacing w:before="100" w:after="100"/>
      <w:outlineLvl w:val="5"/>
    </w:pPr>
    <w:rPr>
      <w:b/>
      <w:snapToGrid w:val="0"/>
    </w:rPr>
  </w:style>
  <w:style w:type="character" w:styleId="Hyperlink">
    <w:name w:val="Hyperlink"/>
    <w:basedOn w:val="DefaultParagraphFont"/>
    <w:uiPriority w:val="99"/>
    <w:unhideWhenUsed/>
    <w:rsid w:val="00650538"/>
    <w:rPr>
      <w:color w:val="0000FF" w:themeColor="hyperlink"/>
      <w:u w:val="single"/>
    </w:rPr>
  </w:style>
  <w:style w:type="character" w:customStyle="1" w:styleId="Heading3Char">
    <w:name w:val="Heading 3 Char"/>
    <w:basedOn w:val="DefaultParagraphFont"/>
    <w:link w:val="Heading3"/>
    <w:rsid w:val="002E2798"/>
    <w:rPr>
      <w:rFonts w:ascii="Arial" w:eastAsia="Times New Roman" w:hAnsi="Arial" w:cs="Times New Roman"/>
      <w:sz w:val="24"/>
      <w:szCs w:val="20"/>
      <w:lang w:val="en-US"/>
    </w:rPr>
  </w:style>
  <w:style w:type="character" w:customStyle="1" w:styleId="apple-converted-space">
    <w:name w:val="apple-converted-space"/>
    <w:basedOn w:val="DefaultParagraphFont"/>
    <w:rsid w:val="002E2798"/>
  </w:style>
  <w:style w:type="character" w:customStyle="1" w:styleId="bold">
    <w:name w:val="bold"/>
    <w:basedOn w:val="DefaultParagraphFont"/>
    <w:rsid w:val="002E2798"/>
  </w:style>
  <w:style w:type="character" w:customStyle="1" w:styleId="italics">
    <w:name w:val="italics"/>
    <w:rsid w:val="002E2798"/>
  </w:style>
  <w:style w:type="paragraph" w:customStyle="1" w:styleId="paragraph">
    <w:name w:val="paragraph"/>
    <w:basedOn w:val="Normal"/>
    <w:rsid w:val="002E279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3246</Words>
  <Characters>18506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SEJAL MADHAK</dc:creator>
  <cp:keywords/>
  <dc:description/>
  <cp:lastModifiedBy>user</cp:lastModifiedBy>
  <cp:revision>2</cp:revision>
  <dcterms:created xsi:type="dcterms:W3CDTF">2021-03-17T14:41:00Z</dcterms:created>
  <dcterms:modified xsi:type="dcterms:W3CDTF">2021-03-17T14:41:00Z</dcterms:modified>
</cp:coreProperties>
</file>