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22" w:rsidRPr="00F565D5" w:rsidRDefault="007E2522" w:rsidP="007E2522">
      <w:pPr>
        <w:shd w:val="clear" w:color="auto" w:fill="FFFFFF"/>
        <w:spacing w:after="15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1. Name of the medicinal product</w:t>
      </w:r>
    </w:p>
    <w:p w:rsidR="007E2522" w:rsidRPr="00F565D5" w:rsidRDefault="007E2522" w:rsidP="007E2522">
      <w:pPr>
        <w:shd w:val="clear" w:color="auto" w:fill="FFFFFF"/>
        <w:spacing w:after="143" w:line="240" w:lineRule="auto"/>
        <w:jc w:val="both"/>
        <w:rPr>
          <w:rFonts w:ascii="Tahoma" w:eastAsia="Times New Roman" w:hAnsi="Tahoma" w:cs="Tahoma"/>
          <w:sz w:val="18"/>
          <w:szCs w:val="18"/>
        </w:rPr>
      </w:pPr>
      <w:proofErr w:type="spellStart"/>
      <w:r>
        <w:rPr>
          <w:rFonts w:ascii="Tahoma" w:eastAsia="Times New Roman" w:hAnsi="Tahoma" w:cs="Tahoma"/>
          <w:sz w:val="18"/>
          <w:szCs w:val="18"/>
        </w:rPr>
        <w:t>Polyder</w:t>
      </w:r>
      <w:proofErr w:type="spellEnd"/>
      <w:r>
        <w:rPr>
          <w:rFonts w:ascii="Tahoma" w:eastAsia="Times New Roman" w:hAnsi="Tahoma" w:cs="Tahoma"/>
          <w:sz w:val="18"/>
          <w:szCs w:val="18"/>
        </w:rPr>
        <w:t xml:space="preserve"> cream</w:t>
      </w:r>
    </w:p>
    <w:p w:rsidR="007E2522" w:rsidRPr="00F565D5" w:rsidRDefault="007E2522" w:rsidP="007E2522">
      <w:pPr>
        <w:shd w:val="clear" w:color="auto" w:fill="FFFFFF"/>
        <w:spacing w:after="15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2. Qualitative and quantitative composition</w:t>
      </w:r>
    </w:p>
    <w:p w:rsidR="007E2522" w:rsidRDefault="007E2522" w:rsidP="007E2522">
      <w:pPr>
        <w:spacing w:after="0" w:line="240" w:lineRule="auto"/>
        <w:jc w:val="both"/>
        <w:rPr>
          <w:rFonts w:ascii="Calibri" w:eastAsia="Calibri" w:hAnsi="Calibri" w:cs="Times New Roman"/>
          <w:b/>
          <w:color w:val="000000"/>
          <w:sz w:val="20"/>
          <w:szCs w:val="20"/>
        </w:rPr>
      </w:pPr>
      <w:r w:rsidRPr="007E2522">
        <w:rPr>
          <w:rFonts w:ascii="Calibri" w:eastAsia="Calibri" w:hAnsi="Calibri" w:cs="Times New Roman"/>
          <w:b/>
          <w:color w:val="000000"/>
          <w:sz w:val="20"/>
          <w:szCs w:val="20"/>
        </w:rPr>
        <w:t>Composition:</w:t>
      </w:r>
    </w:p>
    <w:p w:rsidR="007E2522" w:rsidRPr="007E2522" w:rsidRDefault="007E2522" w:rsidP="007E2522">
      <w:pPr>
        <w:spacing w:after="0" w:line="240" w:lineRule="auto"/>
        <w:jc w:val="both"/>
        <w:rPr>
          <w:rFonts w:ascii="Calibri" w:eastAsia="Calibri" w:hAnsi="Calibri" w:cs="Times New Roman"/>
          <w:b/>
          <w:color w:val="000000"/>
          <w:sz w:val="20"/>
          <w:szCs w:val="20"/>
        </w:rPr>
      </w:pPr>
      <w:r>
        <w:rPr>
          <w:rFonts w:ascii="Calibri" w:eastAsia="Calibri" w:hAnsi="Calibri" w:cs="Times New Roman"/>
          <w:b/>
          <w:color w:val="000000"/>
          <w:sz w:val="20"/>
          <w:szCs w:val="20"/>
        </w:rPr>
        <w:t>Each 100g contains</w:t>
      </w:r>
    </w:p>
    <w:p w:rsidR="007E2522" w:rsidRPr="007E2522" w:rsidRDefault="007E2522" w:rsidP="007E2522">
      <w:pPr>
        <w:spacing w:after="0" w:line="240" w:lineRule="auto"/>
        <w:jc w:val="both"/>
        <w:rPr>
          <w:rFonts w:ascii="Tahoma" w:eastAsia="Calibri" w:hAnsi="Tahoma" w:cs="Tahoma"/>
          <w:color w:val="000000"/>
          <w:sz w:val="18"/>
          <w:szCs w:val="18"/>
        </w:rPr>
      </w:pPr>
      <w:proofErr w:type="spellStart"/>
      <w:r w:rsidRPr="007E2522">
        <w:rPr>
          <w:rFonts w:ascii="Tahoma" w:eastAsia="Calibri" w:hAnsi="Tahoma" w:cs="Tahoma"/>
          <w:color w:val="000000"/>
          <w:sz w:val="18"/>
          <w:szCs w:val="18"/>
        </w:rPr>
        <w:t>Beclomethasone</w:t>
      </w:r>
      <w:proofErr w:type="spellEnd"/>
      <w:r w:rsidRPr="007E2522">
        <w:rPr>
          <w:rFonts w:ascii="Tahoma" w:eastAsia="Calibri" w:hAnsi="Tahoma" w:cs="Tahoma"/>
          <w:color w:val="000000"/>
          <w:sz w:val="18"/>
          <w:szCs w:val="18"/>
        </w:rPr>
        <w:t xml:space="preserve"> </w:t>
      </w:r>
      <w:proofErr w:type="spellStart"/>
      <w:r w:rsidRPr="007E2522">
        <w:rPr>
          <w:rFonts w:ascii="Tahoma" w:eastAsia="Calibri" w:hAnsi="Tahoma" w:cs="Tahoma"/>
          <w:color w:val="000000"/>
          <w:sz w:val="18"/>
          <w:szCs w:val="18"/>
        </w:rPr>
        <w:t>dipropionate</w:t>
      </w:r>
      <w:proofErr w:type="spellEnd"/>
      <w:r w:rsidRPr="007E2522">
        <w:rPr>
          <w:rFonts w:ascii="Tahoma" w:eastAsia="Calibri" w:hAnsi="Tahoma" w:cs="Tahoma"/>
          <w:color w:val="000000"/>
          <w:sz w:val="18"/>
          <w:szCs w:val="18"/>
        </w:rPr>
        <w:tab/>
        <w:t xml:space="preserve">                       0.025%</w:t>
      </w:r>
      <w:r w:rsidRPr="007E2522">
        <w:rPr>
          <w:rFonts w:ascii="Tahoma" w:eastAsia="Calibri" w:hAnsi="Tahoma" w:cs="Tahoma"/>
          <w:color w:val="000000"/>
          <w:sz w:val="18"/>
          <w:szCs w:val="18"/>
        </w:rPr>
        <w:tab/>
      </w:r>
      <w:r w:rsidRPr="007E2522">
        <w:rPr>
          <w:rFonts w:ascii="Tahoma" w:eastAsia="Calibri" w:hAnsi="Tahoma" w:cs="Tahoma"/>
          <w:color w:val="000000"/>
          <w:sz w:val="18"/>
          <w:szCs w:val="18"/>
        </w:rPr>
        <w:tab/>
        <w:t xml:space="preserve">  </w:t>
      </w:r>
    </w:p>
    <w:p w:rsidR="007E2522" w:rsidRPr="007E2522" w:rsidRDefault="007E2522" w:rsidP="007E2522">
      <w:pPr>
        <w:spacing w:after="0" w:line="240" w:lineRule="auto"/>
        <w:jc w:val="both"/>
        <w:rPr>
          <w:rFonts w:ascii="Tahoma" w:eastAsia="Calibri" w:hAnsi="Tahoma" w:cs="Tahoma"/>
          <w:color w:val="000000"/>
          <w:sz w:val="18"/>
          <w:szCs w:val="18"/>
        </w:rPr>
      </w:pPr>
      <w:proofErr w:type="spellStart"/>
      <w:proofErr w:type="gramStart"/>
      <w:r w:rsidRPr="007E2522">
        <w:rPr>
          <w:rFonts w:ascii="Tahoma" w:eastAsia="Calibri" w:hAnsi="Tahoma" w:cs="Tahoma"/>
          <w:color w:val="000000"/>
          <w:sz w:val="18"/>
          <w:szCs w:val="18"/>
        </w:rPr>
        <w:t>Miconazole</w:t>
      </w:r>
      <w:proofErr w:type="spellEnd"/>
      <w:r w:rsidRPr="007E2522">
        <w:rPr>
          <w:rFonts w:ascii="Tahoma" w:eastAsia="Calibri" w:hAnsi="Tahoma" w:cs="Tahoma"/>
          <w:color w:val="000000"/>
          <w:sz w:val="18"/>
          <w:szCs w:val="18"/>
        </w:rPr>
        <w:t xml:space="preserve">  nitrate</w:t>
      </w:r>
      <w:proofErr w:type="gramEnd"/>
      <w:r w:rsidRPr="007E2522">
        <w:rPr>
          <w:rFonts w:ascii="Tahoma" w:eastAsia="Calibri" w:hAnsi="Tahoma" w:cs="Tahoma"/>
          <w:color w:val="000000"/>
          <w:sz w:val="18"/>
          <w:szCs w:val="18"/>
        </w:rPr>
        <w:tab/>
        <w:t xml:space="preserve">    </w:t>
      </w:r>
      <w:r>
        <w:rPr>
          <w:rFonts w:ascii="Tahoma" w:eastAsia="Calibri" w:hAnsi="Tahoma" w:cs="Tahoma"/>
          <w:color w:val="000000"/>
          <w:sz w:val="18"/>
          <w:szCs w:val="18"/>
        </w:rPr>
        <w:t xml:space="preserve">                         </w:t>
      </w:r>
      <w:r w:rsidRPr="007E2522">
        <w:rPr>
          <w:rFonts w:ascii="Tahoma" w:eastAsia="Calibri" w:hAnsi="Tahoma" w:cs="Tahoma"/>
          <w:color w:val="000000"/>
          <w:sz w:val="18"/>
          <w:szCs w:val="18"/>
        </w:rPr>
        <w:t xml:space="preserve">      2.0%w/w</w:t>
      </w:r>
    </w:p>
    <w:p w:rsidR="007E2522" w:rsidRPr="007E2522" w:rsidRDefault="007E2522" w:rsidP="007E2522">
      <w:pPr>
        <w:spacing w:after="0" w:line="240" w:lineRule="auto"/>
        <w:jc w:val="both"/>
        <w:rPr>
          <w:rFonts w:ascii="Tahoma" w:eastAsia="Calibri" w:hAnsi="Tahoma" w:cs="Tahoma"/>
          <w:color w:val="000000"/>
          <w:sz w:val="18"/>
          <w:szCs w:val="18"/>
        </w:rPr>
      </w:pPr>
      <w:r w:rsidRPr="007E2522">
        <w:rPr>
          <w:rFonts w:ascii="Tahoma" w:eastAsia="Calibri" w:hAnsi="Tahoma" w:cs="Tahoma"/>
          <w:color w:val="000000"/>
          <w:sz w:val="18"/>
          <w:szCs w:val="18"/>
        </w:rPr>
        <w:t xml:space="preserve">Neomycin </w:t>
      </w:r>
      <w:proofErr w:type="spellStart"/>
      <w:r w:rsidRPr="007E2522">
        <w:rPr>
          <w:rFonts w:ascii="Tahoma" w:eastAsia="Calibri" w:hAnsi="Tahoma" w:cs="Tahoma"/>
          <w:color w:val="000000"/>
          <w:sz w:val="18"/>
          <w:szCs w:val="18"/>
        </w:rPr>
        <w:t>sulphate</w:t>
      </w:r>
      <w:proofErr w:type="spellEnd"/>
      <w:r w:rsidRPr="007E2522">
        <w:rPr>
          <w:rFonts w:ascii="Tahoma" w:eastAsia="Calibri" w:hAnsi="Tahoma" w:cs="Tahoma"/>
          <w:color w:val="000000"/>
          <w:sz w:val="18"/>
          <w:szCs w:val="18"/>
        </w:rPr>
        <w:tab/>
      </w:r>
      <w:r w:rsidRPr="007E2522">
        <w:rPr>
          <w:rFonts w:ascii="Tahoma" w:eastAsia="Calibri" w:hAnsi="Tahoma" w:cs="Tahoma"/>
          <w:color w:val="000000"/>
          <w:sz w:val="18"/>
          <w:szCs w:val="18"/>
        </w:rPr>
        <w:tab/>
        <w:t xml:space="preserve">                       0.5%w/w</w:t>
      </w:r>
    </w:p>
    <w:p w:rsidR="007E2522" w:rsidRPr="007E2522" w:rsidRDefault="007E2522" w:rsidP="007E2522">
      <w:pPr>
        <w:spacing w:after="0" w:line="240" w:lineRule="auto"/>
        <w:jc w:val="both"/>
        <w:rPr>
          <w:rFonts w:ascii="Tahoma" w:eastAsia="Calibri" w:hAnsi="Tahoma" w:cs="Tahoma"/>
          <w:color w:val="000000"/>
          <w:sz w:val="18"/>
          <w:szCs w:val="18"/>
        </w:rPr>
      </w:pPr>
      <w:proofErr w:type="spellStart"/>
      <w:r w:rsidRPr="007E2522">
        <w:rPr>
          <w:rFonts w:ascii="Tahoma" w:eastAsia="Calibri" w:hAnsi="Tahoma" w:cs="Tahoma"/>
          <w:color w:val="000000"/>
          <w:sz w:val="18"/>
          <w:szCs w:val="18"/>
        </w:rPr>
        <w:t>Chlorocresol</w:t>
      </w:r>
      <w:proofErr w:type="spellEnd"/>
      <w:r w:rsidRPr="007E2522">
        <w:rPr>
          <w:rFonts w:ascii="Tahoma" w:eastAsia="Calibri" w:hAnsi="Tahoma" w:cs="Tahoma"/>
          <w:color w:val="000000"/>
          <w:sz w:val="18"/>
          <w:szCs w:val="18"/>
        </w:rPr>
        <w:t xml:space="preserve">        </w:t>
      </w:r>
      <w:r>
        <w:rPr>
          <w:rFonts w:ascii="Tahoma" w:eastAsia="Calibri" w:hAnsi="Tahoma" w:cs="Tahoma"/>
          <w:color w:val="000000"/>
          <w:sz w:val="18"/>
          <w:szCs w:val="18"/>
        </w:rPr>
        <w:t xml:space="preserve">                                              </w:t>
      </w:r>
      <w:r w:rsidRPr="007E2522">
        <w:rPr>
          <w:rFonts w:ascii="Tahoma" w:eastAsia="Calibri" w:hAnsi="Tahoma" w:cs="Tahoma"/>
          <w:color w:val="000000"/>
          <w:sz w:val="18"/>
          <w:szCs w:val="18"/>
        </w:rPr>
        <w:t xml:space="preserve">  0.1%w/w</w:t>
      </w:r>
    </w:p>
    <w:p w:rsidR="007E2522" w:rsidRPr="007E2522" w:rsidRDefault="007E2522" w:rsidP="007E2522">
      <w:pPr>
        <w:spacing w:after="0" w:line="240" w:lineRule="auto"/>
        <w:jc w:val="both"/>
        <w:rPr>
          <w:rFonts w:ascii="Tahoma" w:eastAsia="Calibri" w:hAnsi="Tahoma" w:cs="Tahoma"/>
          <w:color w:val="000000"/>
          <w:sz w:val="18"/>
          <w:szCs w:val="18"/>
        </w:rPr>
      </w:pPr>
      <w:r w:rsidRPr="007E2522">
        <w:rPr>
          <w:rFonts w:ascii="Tahoma" w:eastAsia="Calibri" w:hAnsi="Tahoma" w:cs="Tahoma"/>
          <w:color w:val="000000"/>
          <w:sz w:val="18"/>
          <w:szCs w:val="18"/>
        </w:rPr>
        <w:t xml:space="preserve">Cream base </w:t>
      </w:r>
      <w:r w:rsidRPr="007E2522">
        <w:rPr>
          <w:rFonts w:ascii="Tahoma" w:eastAsia="Calibri" w:hAnsi="Tahoma" w:cs="Tahoma"/>
          <w:color w:val="000000"/>
          <w:sz w:val="18"/>
          <w:szCs w:val="18"/>
        </w:rPr>
        <w:tab/>
      </w:r>
      <w:r w:rsidRPr="007E2522">
        <w:rPr>
          <w:rFonts w:ascii="Tahoma" w:eastAsia="Calibri" w:hAnsi="Tahoma" w:cs="Tahoma"/>
          <w:color w:val="000000"/>
          <w:sz w:val="18"/>
          <w:szCs w:val="18"/>
        </w:rPr>
        <w:tab/>
        <w:t xml:space="preserve">                       </w:t>
      </w:r>
      <w:r>
        <w:rPr>
          <w:rFonts w:ascii="Tahoma" w:eastAsia="Calibri" w:hAnsi="Tahoma" w:cs="Tahoma"/>
          <w:color w:val="000000"/>
          <w:sz w:val="18"/>
          <w:szCs w:val="18"/>
        </w:rPr>
        <w:t xml:space="preserve">             </w:t>
      </w:r>
      <w:r w:rsidRPr="007E2522">
        <w:rPr>
          <w:rFonts w:ascii="Tahoma" w:eastAsia="Calibri" w:hAnsi="Tahoma" w:cs="Tahoma"/>
          <w:color w:val="000000"/>
          <w:sz w:val="18"/>
          <w:szCs w:val="18"/>
        </w:rPr>
        <w:t xml:space="preserve"> </w:t>
      </w:r>
      <w:proofErr w:type="spellStart"/>
      <w:r w:rsidRPr="007E2522">
        <w:rPr>
          <w:rFonts w:ascii="Tahoma" w:eastAsia="Calibri" w:hAnsi="Tahoma" w:cs="Tahoma"/>
          <w:color w:val="000000"/>
          <w:sz w:val="18"/>
          <w:szCs w:val="18"/>
        </w:rPr>
        <w:t>q.s</w:t>
      </w:r>
      <w:proofErr w:type="spellEnd"/>
    </w:p>
    <w:p w:rsidR="007E2522" w:rsidRPr="007E2522" w:rsidRDefault="007E2522" w:rsidP="007E2522">
      <w:pPr>
        <w:spacing w:after="0" w:line="240" w:lineRule="auto"/>
        <w:jc w:val="both"/>
        <w:rPr>
          <w:rFonts w:ascii="Tahoma" w:eastAsia="Calibri" w:hAnsi="Tahoma" w:cs="Tahoma"/>
          <w:b/>
          <w:color w:val="000000"/>
          <w:sz w:val="18"/>
          <w:szCs w:val="18"/>
        </w:rPr>
      </w:pPr>
    </w:p>
    <w:p w:rsidR="007E2522" w:rsidRPr="00F565D5" w:rsidRDefault="007E2522" w:rsidP="007E2522">
      <w:pPr>
        <w:shd w:val="clear" w:color="auto" w:fill="FFFFFF"/>
        <w:spacing w:after="143" w:line="240" w:lineRule="auto"/>
        <w:jc w:val="both"/>
        <w:rPr>
          <w:rFonts w:ascii="Tahoma" w:eastAsia="Times New Roman" w:hAnsi="Tahoma" w:cs="Tahoma"/>
          <w:sz w:val="18"/>
          <w:szCs w:val="18"/>
        </w:rPr>
      </w:pPr>
    </w:p>
    <w:p w:rsidR="007E2522" w:rsidRPr="00F565D5" w:rsidRDefault="007E2522" w:rsidP="007E2522">
      <w:pPr>
        <w:shd w:val="clear" w:color="auto" w:fill="FFFFFF"/>
        <w:tabs>
          <w:tab w:val="left" w:pos="4090"/>
        </w:tabs>
        <w:spacing w:after="143" w:line="240" w:lineRule="auto"/>
        <w:jc w:val="both"/>
        <w:rPr>
          <w:rFonts w:ascii="Tahoma" w:eastAsia="Times New Roman" w:hAnsi="Tahoma" w:cs="Tahoma"/>
          <w:sz w:val="18"/>
          <w:szCs w:val="18"/>
        </w:rPr>
      </w:pPr>
    </w:p>
    <w:p w:rsidR="007E2522" w:rsidRPr="00F565D5" w:rsidRDefault="007E2522" w:rsidP="007E2522">
      <w:pPr>
        <w:shd w:val="clear" w:color="auto" w:fill="FFFFFF"/>
        <w:spacing w:after="15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3. Pharmaceutical form</w:t>
      </w:r>
    </w:p>
    <w:p w:rsidR="002D4F43" w:rsidRPr="007E2522" w:rsidRDefault="007E2522" w:rsidP="007E2522">
      <w:pPr>
        <w:shd w:val="clear" w:color="auto" w:fill="FFFFFF"/>
        <w:spacing w:after="143" w:line="240" w:lineRule="auto"/>
        <w:jc w:val="both"/>
        <w:rPr>
          <w:rFonts w:ascii="Tahoma" w:eastAsia="Times New Roman" w:hAnsi="Tahoma" w:cs="Tahoma"/>
          <w:sz w:val="18"/>
          <w:szCs w:val="18"/>
        </w:rPr>
      </w:pPr>
      <w:r>
        <w:rPr>
          <w:rFonts w:ascii="Tahoma" w:eastAsia="Times New Roman" w:hAnsi="Tahoma" w:cs="Tahoma"/>
          <w:sz w:val="18"/>
          <w:szCs w:val="18"/>
        </w:rPr>
        <w:t>Cream in a collapsible tube</w:t>
      </w:r>
    </w:p>
    <w:p w:rsidR="007E2522" w:rsidRDefault="007E2522">
      <w:r>
        <w:t xml:space="preserve"> </w:t>
      </w:r>
    </w:p>
    <w:p w:rsidR="002D4F43" w:rsidRDefault="007E2522">
      <w:r>
        <w:t>4</w:t>
      </w:r>
      <w:r w:rsidR="002D4F43">
        <w:t xml:space="preserve">. CLINICAL PARTICULARS </w:t>
      </w:r>
    </w:p>
    <w:p w:rsidR="002D4F43" w:rsidRDefault="002D4F43">
      <w:r>
        <w:t xml:space="preserve">4.1 Therapeutic </w:t>
      </w:r>
      <w:proofErr w:type="gramStart"/>
      <w:r>
        <w:t xml:space="preserve">Indications </w:t>
      </w:r>
      <w:r w:rsidR="007E2522">
        <w:t>:</w:t>
      </w:r>
      <w:proofErr w:type="gramEnd"/>
    </w:p>
    <w:p w:rsidR="007E2522" w:rsidRPr="007E2522" w:rsidRDefault="007E2522" w:rsidP="007E2522">
      <w:pPr>
        <w:pStyle w:val="NoSpacing"/>
        <w:jc w:val="both"/>
        <w:rPr>
          <w:rFonts w:ascii="Tahoma" w:eastAsia="Calibri" w:hAnsi="Tahoma" w:cs="Tahoma"/>
          <w:b/>
          <w:color w:val="000000"/>
          <w:sz w:val="18"/>
          <w:szCs w:val="18"/>
        </w:rPr>
      </w:pPr>
      <w:r w:rsidRPr="007E2522">
        <w:rPr>
          <w:rFonts w:ascii="Tahoma" w:hAnsi="Tahoma" w:cs="Tahoma"/>
          <w:sz w:val="18"/>
          <w:szCs w:val="18"/>
        </w:rPr>
        <w:t xml:space="preserve">It is indicated in patients 17 years and older for the topical treatment of symptomatic inflammatory </w:t>
      </w:r>
      <w:proofErr w:type="spellStart"/>
      <w:r w:rsidRPr="007E2522">
        <w:rPr>
          <w:rFonts w:ascii="Tahoma" w:hAnsi="Tahoma" w:cs="Tahoma"/>
          <w:sz w:val="18"/>
          <w:szCs w:val="18"/>
        </w:rPr>
        <w:t>tineapedis</w:t>
      </w:r>
      <w:proofErr w:type="spellEnd"/>
      <w:r w:rsidRPr="007E2522">
        <w:rPr>
          <w:rFonts w:ascii="Tahoma" w:hAnsi="Tahoma" w:cs="Tahoma"/>
          <w:sz w:val="18"/>
          <w:szCs w:val="18"/>
        </w:rPr>
        <w:t xml:space="preserve">, </w:t>
      </w:r>
      <w:proofErr w:type="spellStart"/>
      <w:r w:rsidRPr="007E2522">
        <w:rPr>
          <w:rFonts w:ascii="Tahoma" w:hAnsi="Tahoma" w:cs="Tahoma"/>
          <w:sz w:val="18"/>
          <w:szCs w:val="18"/>
        </w:rPr>
        <w:t>tineacuris</w:t>
      </w:r>
      <w:proofErr w:type="spellEnd"/>
      <w:r w:rsidRPr="007E2522">
        <w:rPr>
          <w:rFonts w:ascii="Tahoma" w:hAnsi="Tahoma" w:cs="Tahoma"/>
          <w:sz w:val="18"/>
          <w:szCs w:val="18"/>
        </w:rPr>
        <w:t xml:space="preserve">    and</w:t>
      </w:r>
      <w:r w:rsidRPr="007E2522">
        <w:rPr>
          <w:rFonts w:ascii="Tahoma" w:hAnsi="Tahoma" w:cs="Tahoma"/>
          <w:sz w:val="18"/>
          <w:szCs w:val="18"/>
        </w:rPr>
        <w:tab/>
      </w:r>
      <w:proofErr w:type="spellStart"/>
      <w:r w:rsidRPr="007E2522">
        <w:rPr>
          <w:rFonts w:ascii="Tahoma" w:hAnsi="Tahoma" w:cs="Tahoma"/>
          <w:sz w:val="18"/>
          <w:szCs w:val="18"/>
        </w:rPr>
        <w:t>tineacoporis</w:t>
      </w:r>
      <w:proofErr w:type="spellEnd"/>
      <w:r w:rsidRPr="007E2522">
        <w:rPr>
          <w:rFonts w:ascii="Tahoma" w:hAnsi="Tahoma" w:cs="Tahoma"/>
          <w:sz w:val="18"/>
          <w:szCs w:val="18"/>
        </w:rPr>
        <w:t xml:space="preserve">   </w:t>
      </w:r>
    </w:p>
    <w:p w:rsidR="007E2522" w:rsidRDefault="007E2522"/>
    <w:p w:rsidR="007E2522" w:rsidRDefault="002D4F43">
      <w:r>
        <w:t xml:space="preserve"> 4.2 Posology and Method of Administration</w:t>
      </w:r>
    </w:p>
    <w:p w:rsidR="004A1C88" w:rsidRDefault="007E2522">
      <w:r>
        <w:t xml:space="preserve"> </w:t>
      </w:r>
      <w:proofErr w:type="spellStart"/>
      <w:proofErr w:type="gramStart"/>
      <w:r>
        <w:t>Polyderm</w:t>
      </w:r>
      <w:proofErr w:type="spellEnd"/>
      <w:r>
        <w:t xml:space="preserve"> </w:t>
      </w:r>
      <w:r w:rsidR="004A1C88">
        <w:t xml:space="preserve"> cream</w:t>
      </w:r>
      <w:proofErr w:type="gramEnd"/>
      <w:r w:rsidR="004A1C88">
        <w:t xml:space="preserve"> is</w:t>
      </w:r>
      <w:r w:rsidR="002D4F43">
        <w:t xml:space="preserve"> should not be used continuously for more than one week without reevaluation by the physician. Adults and adolescents </w:t>
      </w:r>
      <w:proofErr w:type="gramStart"/>
      <w:r w:rsidR="002D4F43">
        <w:t>Apply</w:t>
      </w:r>
      <w:proofErr w:type="gramEnd"/>
      <w:r w:rsidR="002D4F43">
        <w:t xml:space="preserve"> thinly and gently rub in using only enough to cover the entire affected area t</w:t>
      </w:r>
      <w:r w:rsidR="004A1C88">
        <w:t>wice daily for up to seven days.</w:t>
      </w:r>
      <w:r w:rsidR="002D4F43">
        <w:t xml:space="preserve"> Allow adequate time for absorption after each application before applying an emollient</w:t>
      </w:r>
      <w:r w:rsidR="004A1C88">
        <w:t>.</w:t>
      </w:r>
      <w:r w:rsidR="002D4F43">
        <w:t xml:space="preserve"> Treatment should not be continued for more than seven days without medical supervision. If the condition worsens or does not improve within seven days, treatment and dia</w:t>
      </w:r>
      <w:r w:rsidR="004A1C88">
        <w:t xml:space="preserve">gnosis should be re-evaluated. </w:t>
      </w:r>
    </w:p>
    <w:p w:rsidR="002D4F43" w:rsidRDefault="002D4F43">
      <w:r>
        <w:t xml:space="preserve"> Children ag</w:t>
      </w:r>
      <w:r w:rsidR="004A1C88">
        <w:t xml:space="preserve">ed 2 years and </w:t>
      </w:r>
      <w:proofErr w:type="gramStart"/>
      <w:r w:rsidR="004A1C88">
        <w:t>over :</w:t>
      </w:r>
      <w:proofErr w:type="gramEnd"/>
      <w:r w:rsidR="004A1C88">
        <w:t xml:space="preserve"> </w:t>
      </w:r>
      <w:proofErr w:type="spellStart"/>
      <w:r w:rsidR="004A1C88">
        <w:t>Polyderm</w:t>
      </w:r>
      <w:proofErr w:type="spellEnd"/>
      <w:r>
        <w:t xml:space="preserve"> is suitable for use in children (2 years and over) at the same dose as adults. A possibility of increased absorption exists in very yo</w:t>
      </w:r>
      <w:r w:rsidR="004A1C88">
        <w:t xml:space="preserve">ung children, thus, </w:t>
      </w:r>
      <w:proofErr w:type="spellStart"/>
      <w:r w:rsidR="004A1C88">
        <w:t>polyderm</w:t>
      </w:r>
      <w:proofErr w:type="spellEnd"/>
      <w:r w:rsidR="004A1C88">
        <w:t xml:space="preserve"> cream </w:t>
      </w:r>
      <w:r>
        <w:t xml:space="preserve">is contraindicated in children </w:t>
      </w:r>
      <w:proofErr w:type="gramStart"/>
      <w:r>
        <w:t>under</w:t>
      </w:r>
      <w:proofErr w:type="gramEnd"/>
      <w:r>
        <w:t xml:space="preserve"> 2 years of</w:t>
      </w:r>
      <w:r w:rsidR="004A1C88">
        <w:t xml:space="preserve"> age</w:t>
      </w:r>
      <w:r>
        <w:t xml:space="preserve">. Children are more likely to develop local and systemic side effects of topical corticosteroids and, in general, require shorter courses and less potent agents than adults. Care should </w:t>
      </w:r>
      <w:r w:rsidR="004A1C88">
        <w:t xml:space="preserve">be taken when using </w:t>
      </w:r>
      <w:proofErr w:type="spellStart"/>
      <w:r w:rsidR="004A1C88">
        <w:t>polyderm</w:t>
      </w:r>
      <w:proofErr w:type="spellEnd"/>
      <w:r w:rsidR="004A1C88">
        <w:t xml:space="preserve"> cream</w:t>
      </w:r>
      <w:r>
        <w:t xml:space="preserve"> to ensure the amount applied is the minimum that provides therapeut</w:t>
      </w:r>
      <w:r w:rsidR="004A1C88">
        <w:t xml:space="preserve">ic benefit. Elderly, </w:t>
      </w:r>
      <w:proofErr w:type="spellStart"/>
      <w:r w:rsidR="004A1C88">
        <w:t>polyderm</w:t>
      </w:r>
      <w:proofErr w:type="spellEnd"/>
      <w:r w:rsidR="004A1C88">
        <w:t xml:space="preserve"> cream</w:t>
      </w:r>
      <w:r>
        <w:t xml:space="preserve"> is suitable for use in the elderly. However, the greater frequency of decreased hepatic and renal function in the elderly may delay elimination if systemic absorption occurs. Therefore, the minimum quantity should be used for the shortest duration to achieve the desired clinical benefit. Renal impairment Dosage should be reduced in patients with reduced r</w:t>
      </w:r>
      <w:r w:rsidR="004A1C88">
        <w:t>enal function</w:t>
      </w:r>
      <w:r>
        <w:t xml:space="preserve">. </w:t>
      </w:r>
    </w:p>
    <w:p w:rsidR="002D4F43" w:rsidRDefault="002D4F43">
      <w:r>
        <w:lastRenderedPageBreak/>
        <w:t>4.3</w:t>
      </w:r>
      <w:r w:rsidR="004A1C88">
        <w:t xml:space="preserve"> Contraindications </w:t>
      </w:r>
      <w:proofErr w:type="spellStart"/>
      <w:r w:rsidR="004A1C88">
        <w:t>Polyderm</w:t>
      </w:r>
      <w:proofErr w:type="spellEnd"/>
      <w:r w:rsidR="004A1C88">
        <w:t xml:space="preserve"> </w:t>
      </w:r>
      <w:r>
        <w:t xml:space="preserve">cream is contraindicated in children </w:t>
      </w:r>
      <w:proofErr w:type="gramStart"/>
      <w:r>
        <w:t>under</w:t>
      </w:r>
      <w:proofErr w:type="gramEnd"/>
      <w:r>
        <w:t xml:space="preserve"> 2 years of age. Due to the known ototoxic and nep</w:t>
      </w:r>
      <w:r w:rsidR="004A1C88">
        <w:t>hrotoxic potential of neomycin</w:t>
      </w:r>
      <w:r>
        <w:t xml:space="preserve"> </w:t>
      </w:r>
      <w:proofErr w:type="spellStart"/>
      <w:r>
        <w:t>s</w:t>
      </w:r>
      <w:r w:rsidR="004A1C88">
        <w:t>ulphate</w:t>
      </w:r>
      <w:proofErr w:type="spellEnd"/>
      <w:r w:rsidR="004A1C88">
        <w:t xml:space="preserve">, the use of </w:t>
      </w:r>
      <w:proofErr w:type="spellStart"/>
      <w:r w:rsidR="004A1C88">
        <w:t>polyderm</w:t>
      </w:r>
      <w:proofErr w:type="spellEnd"/>
      <w:r>
        <w:t xml:space="preserve"> cream in large quantities or on large areas for prolonged periods of time is contraindicated in circumstances where significant systemic absorption may occur</w:t>
      </w:r>
      <w:r w:rsidR="004A1C88">
        <w:t>.</w:t>
      </w:r>
      <w:r>
        <w:t xml:space="preserve"> </w:t>
      </w:r>
    </w:p>
    <w:p w:rsidR="004A1C88" w:rsidRDefault="002D4F43">
      <w:r>
        <w:t xml:space="preserve">4.4 Special Warnings and Precautions for Use Hypersensitivity </w:t>
      </w:r>
    </w:p>
    <w:p w:rsidR="00666DE3" w:rsidRDefault="004A1C88">
      <w:proofErr w:type="spellStart"/>
      <w:r>
        <w:t>Polyderm</w:t>
      </w:r>
      <w:proofErr w:type="spellEnd"/>
      <w:r w:rsidR="002D4F43">
        <w:t xml:space="preserve"> cream should be used with caution in patients with a history of local hypersensitiv</w:t>
      </w:r>
      <w:r>
        <w:t>ity to betamethasone, neomycin</w:t>
      </w:r>
      <w:r w:rsidR="002D4F43">
        <w:t xml:space="preserve">, </w:t>
      </w:r>
      <w:proofErr w:type="spellStart"/>
      <w:r w:rsidR="002D4F43">
        <w:t>miconazole</w:t>
      </w:r>
      <w:proofErr w:type="spellEnd"/>
      <w:r w:rsidR="002D4F43">
        <w:t xml:space="preserve"> or t</w:t>
      </w:r>
      <w:r>
        <w:t xml:space="preserve">o any of the excipients in </w:t>
      </w:r>
      <w:proofErr w:type="gramStart"/>
      <w:r>
        <w:t xml:space="preserve">the </w:t>
      </w:r>
      <w:r w:rsidR="002D4F43">
        <w:t xml:space="preserve"> preparation</w:t>
      </w:r>
      <w:proofErr w:type="gramEnd"/>
      <w:r w:rsidR="002D4F43">
        <w:t>. Local hypersensitivity reaction</w:t>
      </w:r>
      <w:r>
        <w:t>s</w:t>
      </w:r>
      <w:r w:rsidR="002D4F43">
        <w:t xml:space="preserve"> may resemble symptoms of the condition under treatment. Application to open wounds should be avoided. Pseudomembranous colitis Pseudomembranous colitis has been reported with the use of antibiotics and may range in severity from mild to life-threatening. Therefore, it is important to consider its diagnosis in patients who develop </w:t>
      </w:r>
      <w:proofErr w:type="spellStart"/>
      <w:r w:rsidR="002D4F43">
        <w:t>diarrhoea</w:t>
      </w:r>
      <w:proofErr w:type="spellEnd"/>
      <w:r w:rsidR="002D4F43">
        <w:t xml:space="preserve"> during or after antibiotic use. Although this is less likely to occur wit</w:t>
      </w:r>
      <w:r>
        <w:t xml:space="preserve">h topically applied </w:t>
      </w:r>
      <w:proofErr w:type="spellStart"/>
      <w:r>
        <w:t>polyderm</w:t>
      </w:r>
      <w:proofErr w:type="spellEnd"/>
      <w:r>
        <w:t xml:space="preserve"> cream</w:t>
      </w:r>
      <w:r w:rsidR="002D4F43">
        <w:t xml:space="preserve">. If prolonged or significant </w:t>
      </w:r>
      <w:proofErr w:type="spellStart"/>
      <w:r w:rsidR="002D4F43">
        <w:t>diarrhoea</w:t>
      </w:r>
      <w:proofErr w:type="spellEnd"/>
      <w:r w:rsidR="002D4F43">
        <w:t xml:space="preserve"> occurs or the patient experiences abdominal cramps, treatment should be discontinued immediately and the patient investigated further. Reversible hypothalamic-pituitary-</w:t>
      </w:r>
      <w:r>
        <w:t>adrenal (HPA) axis suppression m</w:t>
      </w:r>
      <w:r w:rsidR="002D4F43">
        <w:t xml:space="preserve">anifestations of </w:t>
      </w:r>
      <w:proofErr w:type="spellStart"/>
      <w:r w:rsidR="002D4F43">
        <w:t>hypercortisolism</w:t>
      </w:r>
      <w:proofErr w:type="spellEnd"/>
      <w:r w:rsidR="002D4F43">
        <w:t xml:space="preserve"> (Cushing’s syndrome) and reversible </w:t>
      </w:r>
      <w:proofErr w:type="spellStart"/>
      <w:r w:rsidR="002D4F43">
        <w:t>hypothalamicpituitary</w:t>
      </w:r>
      <w:proofErr w:type="spellEnd"/>
      <w:r w:rsidR="002D4F43">
        <w:t xml:space="preserve">-adrenal (HPA) axis suppression can occur in some individuals as a result of increased systemic absorption of topical corticosteroids. If either of the above are observed, withdraw the drug gradually by reducing the frequency of application, or by substituting a less potent corticosteroid. Abrupt withdrawal of treatment may result in </w:t>
      </w:r>
      <w:proofErr w:type="spellStart"/>
      <w:r w:rsidR="002D4F43">
        <w:t>glucocorticosteroid</w:t>
      </w:r>
      <w:proofErr w:type="spellEnd"/>
      <w:r w:rsidR="002D4F43">
        <w:t xml:space="preserve"> insufficien</w:t>
      </w:r>
      <w:r w:rsidR="00666DE3">
        <w:t>cy</w:t>
      </w:r>
      <w:r w:rsidR="002D4F43">
        <w:t xml:space="preserve">. Risk factors for increased corticosteroid systemic effects are: • Potency and formulation of topical corticosteroid • Duration of exposure • Application to a large surface area • Use on occluded areas of skin e.g. on </w:t>
      </w:r>
      <w:proofErr w:type="spellStart"/>
      <w:r w:rsidR="002D4F43">
        <w:t>intertriginous</w:t>
      </w:r>
      <w:proofErr w:type="spellEnd"/>
      <w:r w:rsidR="002D4F43">
        <w:t xml:space="preserve"> areas or under occlusive dressings (nappies may act as an occlusive dressing) • Increasing hydration of the stratum </w:t>
      </w:r>
      <w:proofErr w:type="spellStart"/>
      <w:r w:rsidR="002D4F43">
        <w:t>corneum</w:t>
      </w:r>
      <w:proofErr w:type="spellEnd"/>
      <w:r w:rsidR="002D4F43">
        <w:t xml:space="preserve"> • Use on thin skin areas such as the face • Use on broken skin or other conditions where the skin barrier may be impaired. Visual disturbance Visual disturbance has been reported by patients using systemic and/or topical corticosteroids. If a patient has blurred vision or other visual disturbances, consider evaluation of possible causes which may include cataract, glaucoma or central serous </w:t>
      </w:r>
      <w:proofErr w:type="spellStart"/>
      <w:r w:rsidR="002D4F43">
        <w:t>chorioretinopathy</w:t>
      </w:r>
      <w:proofErr w:type="spellEnd"/>
      <w:r w:rsidR="002D4F43">
        <w:t>. Use in children In comparison with adults, children may absorb proportionally larger amounts of topical corticosteroids and thus be more susceptible to systemic adverse effects. This is because children have an immature skin barrier and a greater surface area to body weight ratio compared with adults. In children under 12 years of age, long-term continuous topical corticosteroid therapy should be avoided where possible, as a</w:t>
      </w:r>
      <w:r w:rsidR="00666DE3">
        <w:t xml:space="preserve">drenal suppression can occur. </w:t>
      </w:r>
    </w:p>
    <w:p w:rsidR="00666DE3" w:rsidRDefault="002D4F43">
      <w:r>
        <w:t>Prolonged application to the face is undesirable as this area is more susceptible to atrophic c</w:t>
      </w:r>
      <w:r w:rsidR="00666DE3">
        <w:t>hanges. Application to eyelids, i</w:t>
      </w:r>
      <w:r>
        <w:t>f applied to the eyelids, care is needed to ensure that the preparation does not enter the eye, as cataract and glaucoma might result from repeated exposu</w:t>
      </w:r>
      <w:r w:rsidR="00666DE3">
        <w:t>re</w:t>
      </w:r>
      <w:r>
        <w:t xml:space="preserve">. </w:t>
      </w:r>
      <w:proofErr w:type="gramStart"/>
      <w:r>
        <w:t>In case of accidental contact with the eyes or mucous membra</w:t>
      </w:r>
      <w:r w:rsidR="00666DE3">
        <w:t>nes, rinse with water.</w:t>
      </w:r>
      <w:proofErr w:type="gramEnd"/>
      <w:r w:rsidR="00666DE3">
        <w:t xml:space="preserve"> </w:t>
      </w:r>
    </w:p>
    <w:p w:rsidR="00666DE3" w:rsidRDefault="002D4F43">
      <w:r>
        <w:t xml:space="preserve"> Extension of infection may occur due to the masking effect of the steroid. Any spread of infection requires withdrawal of topical corticosteroid therapy and administration of appropriate systemic antimicrobial therapy. Infection risk with occlusion Bacterial infection is encouraged by the warm, moist </w:t>
      </w:r>
      <w:r>
        <w:lastRenderedPageBreak/>
        <w:t>conditions within skin folds and caused by occlusive dressings. When using occlusive dressings, the skin should be cleansed befor</w:t>
      </w:r>
      <w:r w:rsidR="00666DE3">
        <w:t xml:space="preserve">e a fresh dressing is applied. </w:t>
      </w:r>
    </w:p>
    <w:p w:rsidR="002D4F43" w:rsidRDefault="002D4F43">
      <w:r>
        <w:t xml:space="preserve"> Chronic leg ulcers</w:t>
      </w:r>
      <w:r w:rsidR="00666DE3">
        <w:t>:</w:t>
      </w:r>
      <w:r>
        <w:t xml:space="preserve"> Topical corticosteroids are sometimes used to treat the dermatitis around chronic leg ulcers. However, this use may be associated with a higher occurrence of local hypersensitivity reactions and an increased risk of local infection. Flammability risk Product contains paraffin. Instruct patients not to smoke or go near naked flames due to the risk of severe burns. Fabric (clothing, bedding, dressings </w:t>
      </w:r>
      <w:proofErr w:type="spellStart"/>
      <w:r>
        <w:t>etc</w:t>
      </w:r>
      <w:proofErr w:type="spellEnd"/>
      <w:r>
        <w:t>) that has been in contact with this product burns more easily and is a serious fire hazard. Washing clothing and bedding may reduce product build-up but not totally remove it.</w:t>
      </w:r>
    </w:p>
    <w:p w:rsidR="00666DE3" w:rsidRDefault="002D4F43">
      <w:r>
        <w:t xml:space="preserve"> 4.5 Drug Interactions </w:t>
      </w:r>
    </w:p>
    <w:p w:rsidR="002D4F43" w:rsidRDefault="002D4F43">
      <w:r>
        <w:t xml:space="preserve">Co-administered drugs that can inhibit CYP3A4 (e.g. ritonavir and </w:t>
      </w:r>
      <w:proofErr w:type="spellStart"/>
      <w:r>
        <w:t>itraconazole</w:t>
      </w:r>
      <w:proofErr w:type="spellEnd"/>
      <w:r>
        <w:t xml:space="preserve">) have been shown to inhibit the metabolism of corticosteroids leading to increased systemic exposure. The extent to which this interaction is clinically relevant depends on the dose and route of administration of the corticosteroids and the potency of the CYP3A4 inhibitor. Following significant systemic absorption, gentamicin </w:t>
      </w:r>
      <w:proofErr w:type="spellStart"/>
      <w:r>
        <w:t>sulphate</w:t>
      </w:r>
      <w:proofErr w:type="spellEnd"/>
      <w:r>
        <w:t xml:space="preserve"> can intensify and prolong the respiratory depressant effects of neuromuscular blocking agents. Possibility of cumulative toxicity shou</w:t>
      </w:r>
      <w:r w:rsidR="00666DE3">
        <w:t>ld be considered when neomycin</w:t>
      </w:r>
      <w:r>
        <w:t xml:space="preserve"> </w:t>
      </w:r>
      <w:proofErr w:type="spellStart"/>
      <w:r>
        <w:t>sulphate</w:t>
      </w:r>
      <w:proofErr w:type="spellEnd"/>
      <w:r>
        <w:t xml:space="preserve"> is applied topically in combination with systemic aminoglycoside therapy. It is known that systemically administered </w:t>
      </w:r>
      <w:proofErr w:type="spellStart"/>
      <w:r>
        <w:t>miconazole</w:t>
      </w:r>
      <w:proofErr w:type="spellEnd"/>
      <w:r>
        <w:t xml:space="preserve"> nitrate inhibits CYP3A4/2C9. As there is limited percutaneous absorption of </w:t>
      </w:r>
      <w:proofErr w:type="spellStart"/>
      <w:r>
        <w:t>miconazole</w:t>
      </w:r>
      <w:proofErr w:type="spellEnd"/>
      <w:r>
        <w:t xml:space="preserve">, topical application is not expected to result in systemic exposure of clinical significance. However, as there </w:t>
      </w:r>
      <w:proofErr w:type="gramStart"/>
      <w:r>
        <w:t>have</w:t>
      </w:r>
      <w:proofErr w:type="gramEnd"/>
      <w:r>
        <w:t xml:space="preserve"> been case reports of topical or </w:t>
      </w:r>
      <w:proofErr w:type="spellStart"/>
      <w:r>
        <w:t>intravaginal</w:t>
      </w:r>
      <w:proofErr w:type="spellEnd"/>
      <w:r>
        <w:t xml:space="preserve"> </w:t>
      </w:r>
      <w:proofErr w:type="spellStart"/>
      <w:r>
        <w:t>miconazole</w:t>
      </w:r>
      <w:proofErr w:type="spellEnd"/>
      <w:r>
        <w:t xml:space="preserve"> cream potentiating the anticoagulant effects of </w:t>
      </w:r>
      <w:proofErr w:type="spellStart"/>
      <w:r>
        <w:t>coumarins</w:t>
      </w:r>
      <w:proofErr w:type="spellEnd"/>
      <w:r>
        <w:t xml:space="preserve"> in adults, caution should be exercised with concomitant use and anticoagulant effect monitored. </w:t>
      </w:r>
    </w:p>
    <w:p w:rsidR="00666DE3" w:rsidRDefault="002D4F43">
      <w:r>
        <w:t xml:space="preserve">4.6 Use in Special Population (such as pregnant women, lactating women, </w:t>
      </w:r>
      <w:proofErr w:type="spellStart"/>
      <w:r>
        <w:t>paediatric</w:t>
      </w:r>
      <w:proofErr w:type="spellEnd"/>
      <w:r>
        <w:t xml:space="preserve"> patients, geriatric patients etc.) </w:t>
      </w:r>
    </w:p>
    <w:p w:rsidR="00E41188" w:rsidRDefault="002D4F43">
      <w:r>
        <w:t>Fertility</w:t>
      </w:r>
      <w:r w:rsidR="00666DE3">
        <w:t>:</w:t>
      </w:r>
      <w:r>
        <w:t xml:space="preserve"> There are no data in humans to evaluate the effect of topical betamethasone </w:t>
      </w:r>
      <w:proofErr w:type="spellStart"/>
      <w:r w:rsidR="00666DE3">
        <w:t>dipropionate</w:t>
      </w:r>
      <w:proofErr w:type="spellEnd"/>
      <w:r w:rsidR="00666DE3">
        <w:t xml:space="preserve"> with neomycin</w:t>
      </w:r>
      <w:r>
        <w:t xml:space="preserve"> on fertility. No fertility studies in animals have been performed with topical </w:t>
      </w:r>
      <w:proofErr w:type="spellStart"/>
      <w:r>
        <w:t>miconazole</w:t>
      </w:r>
      <w:proofErr w:type="spellEnd"/>
      <w:r>
        <w:t xml:space="preserve">. Animal studies indicate no effects of oral </w:t>
      </w:r>
      <w:proofErr w:type="spellStart"/>
      <w:r>
        <w:t>miconazole</w:t>
      </w:r>
      <w:proofErr w:type="spellEnd"/>
      <w:r>
        <w:t xml:space="preserve"> on male or female fertilit</w:t>
      </w:r>
      <w:r w:rsidR="00666DE3">
        <w:t>y</w:t>
      </w:r>
      <w:r>
        <w:t xml:space="preserve">. As there is limited percutaneous absorption of </w:t>
      </w:r>
      <w:proofErr w:type="spellStart"/>
      <w:r>
        <w:t>miconazole</w:t>
      </w:r>
      <w:proofErr w:type="spellEnd"/>
      <w:r>
        <w:t xml:space="preserve"> following topical application, impact on fertility is not expected. </w:t>
      </w:r>
      <w:proofErr w:type="gramStart"/>
      <w:r>
        <w:t xml:space="preserve">Pregnancy </w:t>
      </w:r>
      <w:r w:rsidR="00666DE3">
        <w:t>:</w:t>
      </w:r>
      <w:r>
        <w:t>There</w:t>
      </w:r>
      <w:proofErr w:type="gramEnd"/>
      <w:r>
        <w:t xml:space="preserve"> are limited data from the use o</w:t>
      </w:r>
      <w:r w:rsidR="00666DE3">
        <w:t xml:space="preserve">f topical betamethasone </w:t>
      </w:r>
      <w:proofErr w:type="spellStart"/>
      <w:r w:rsidR="00666DE3">
        <w:t>dipropionate</w:t>
      </w:r>
      <w:proofErr w:type="spellEnd"/>
      <w:r>
        <w:t xml:space="preserve"> with </w:t>
      </w:r>
      <w:r w:rsidR="00E41188">
        <w:t xml:space="preserve">neomycin in pregnant women. </w:t>
      </w:r>
      <w:r>
        <w:t xml:space="preserve">There are no adequate and well-controlled studies of topical </w:t>
      </w:r>
      <w:proofErr w:type="spellStart"/>
      <w:r>
        <w:t>miconazole</w:t>
      </w:r>
      <w:proofErr w:type="spellEnd"/>
      <w:r>
        <w:t xml:space="preserve"> in pregnant women. Oral </w:t>
      </w:r>
      <w:proofErr w:type="spellStart"/>
      <w:r>
        <w:t>miconazole</w:t>
      </w:r>
      <w:proofErr w:type="spellEnd"/>
      <w:r>
        <w:t xml:space="preserve"> has been shown to be </w:t>
      </w:r>
      <w:proofErr w:type="spellStart"/>
      <w:r>
        <w:t>embryotoxic</w:t>
      </w:r>
      <w:proofErr w:type="spellEnd"/>
      <w:r>
        <w:t xml:space="preserve"> in the rat at high dose</w:t>
      </w:r>
      <w:r w:rsidR="00E41188">
        <w:t>s</w:t>
      </w:r>
      <w:r>
        <w:t xml:space="preserve">. No reproductive studies in animals have been performed with topical </w:t>
      </w:r>
      <w:proofErr w:type="spellStart"/>
      <w:r>
        <w:t>miconazole</w:t>
      </w:r>
      <w:proofErr w:type="spellEnd"/>
      <w:r>
        <w:t xml:space="preserve">. Topical administration of corticosteroids to pregnant animals can cause abnormalities of </w:t>
      </w:r>
      <w:proofErr w:type="spellStart"/>
      <w:r>
        <w:t>foetal</w:t>
      </w:r>
      <w:proofErr w:type="spellEnd"/>
      <w:r>
        <w:t xml:space="preserve"> developmen</w:t>
      </w:r>
      <w:r w:rsidR="00E41188">
        <w:t>t</w:t>
      </w:r>
      <w:r>
        <w:t>. The relevance of this finding to humans has not been establishe</w:t>
      </w:r>
      <w:r w:rsidR="00E41188">
        <w:t>d. However, neomycin</w:t>
      </w:r>
      <w:r>
        <w:t xml:space="preserve"> present in maternal blood can cross the placenta and may give rise to a theoretical risk of </w:t>
      </w:r>
      <w:proofErr w:type="spellStart"/>
      <w:r>
        <w:t>foetal</w:t>
      </w:r>
      <w:proofErr w:type="spellEnd"/>
      <w:r>
        <w:t xml:space="preserve"> toxici</w:t>
      </w:r>
      <w:r w:rsidR="00E41188">
        <w:t xml:space="preserve">ty. Thus the use of </w:t>
      </w:r>
      <w:proofErr w:type="spellStart"/>
      <w:r w:rsidR="00E41188">
        <w:t>polyderm</w:t>
      </w:r>
      <w:proofErr w:type="spellEnd"/>
      <w:r w:rsidR="00E41188">
        <w:t xml:space="preserve"> cream</w:t>
      </w:r>
      <w:r>
        <w:t xml:space="preserve"> is not recommended in pregnancy.</w:t>
      </w:r>
    </w:p>
    <w:p w:rsidR="002D4F43" w:rsidRDefault="002D4F43">
      <w:r>
        <w:t xml:space="preserve"> Lactation</w:t>
      </w:r>
      <w:r w:rsidR="00E41188">
        <w:t>:</w:t>
      </w:r>
      <w:r>
        <w:t xml:space="preserve"> Percutaneous absorption of </w:t>
      </w:r>
      <w:proofErr w:type="spellStart"/>
      <w:r>
        <w:t>miconazole</w:t>
      </w:r>
      <w:proofErr w:type="spellEnd"/>
      <w:r>
        <w:t xml:space="preserve"> is </w:t>
      </w:r>
      <w:proofErr w:type="gramStart"/>
      <w:r>
        <w:t>limited,</w:t>
      </w:r>
      <w:proofErr w:type="gramEnd"/>
      <w:r>
        <w:t xml:space="preserve"> however, it is not known whether </w:t>
      </w:r>
      <w:proofErr w:type="spellStart"/>
      <w:r>
        <w:t>miconazole</w:t>
      </w:r>
      <w:proofErr w:type="spellEnd"/>
      <w:r>
        <w:t xml:space="preserve"> is excreted in human milk after topical application. The safe use of betamethasone </w:t>
      </w:r>
      <w:proofErr w:type="spellStart"/>
      <w:r w:rsidR="00E41188">
        <w:t>dipropionate</w:t>
      </w:r>
      <w:proofErr w:type="spellEnd"/>
      <w:r w:rsidR="00E41188">
        <w:t xml:space="preserve"> with neomy</w:t>
      </w:r>
      <w:r>
        <w:t xml:space="preserve">cin and </w:t>
      </w:r>
      <w:proofErr w:type="spellStart"/>
      <w:r>
        <w:t>miconazole</w:t>
      </w:r>
      <w:proofErr w:type="spellEnd"/>
      <w:r>
        <w:t xml:space="preserve"> during lactation has not been established. It is not known </w:t>
      </w:r>
      <w:r>
        <w:lastRenderedPageBreak/>
        <w:t>whether topical administration of corticosteroids could result in sufficient systemic absorption to produce detectable amounts in breas</w:t>
      </w:r>
      <w:r w:rsidR="00E41188">
        <w:t xml:space="preserve">t milk. Thus, use of </w:t>
      </w:r>
      <w:proofErr w:type="spellStart"/>
      <w:r w:rsidR="00E41188">
        <w:t>polyderm</w:t>
      </w:r>
      <w:proofErr w:type="spellEnd"/>
      <w:r>
        <w:t xml:space="preserve"> is not recommended in lactation.</w:t>
      </w:r>
    </w:p>
    <w:p w:rsidR="00E41188" w:rsidRDefault="002D4F43">
      <w:r>
        <w:t xml:space="preserve"> 4.7 Effects on Ability to </w:t>
      </w:r>
      <w:r w:rsidR="00E41188">
        <w:t>Drive</w:t>
      </w:r>
      <w:r>
        <w:t xml:space="preserve"> and Use Machines</w:t>
      </w:r>
    </w:p>
    <w:p w:rsidR="00E41188" w:rsidRDefault="002D4F43">
      <w:r>
        <w:t xml:space="preserve"> There have been no studies to investigate the </w:t>
      </w:r>
      <w:r w:rsidR="00E41188">
        <w:t xml:space="preserve">effect of betamethasone </w:t>
      </w:r>
      <w:proofErr w:type="spellStart"/>
      <w:r w:rsidR="00E41188">
        <w:t>dipropionate</w:t>
      </w:r>
      <w:proofErr w:type="spellEnd"/>
      <w:r w:rsidR="00E41188">
        <w:t xml:space="preserve"> with neomy</w:t>
      </w:r>
      <w:r>
        <w:t xml:space="preserve">cin on driving performance or the ability to operate machinery. </w:t>
      </w:r>
      <w:proofErr w:type="spellStart"/>
      <w:r>
        <w:t>Miconazole</w:t>
      </w:r>
      <w:proofErr w:type="spellEnd"/>
      <w:r>
        <w:t xml:space="preserve"> is not known to exert an effect on the central nervous system following topical application. A detrimental effect on such activities would not be anticipated from the adverse reaction profile of BETNOVATE-GM.</w:t>
      </w:r>
    </w:p>
    <w:p w:rsidR="003C696F" w:rsidRPr="003C696F" w:rsidRDefault="003C696F" w:rsidP="003C696F">
      <w:pPr>
        <w:shd w:val="clear" w:color="auto" w:fill="FFFFFF"/>
        <w:spacing w:after="0" w:line="240" w:lineRule="auto"/>
        <w:rPr>
          <w:rFonts w:ascii="Arial" w:eastAsia="Times New Roman" w:hAnsi="Arial" w:cs="Arial"/>
          <w:b/>
          <w:bCs/>
          <w:color w:val="000000"/>
          <w:sz w:val="20"/>
          <w:szCs w:val="20"/>
        </w:rPr>
      </w:pPr>
      <w:r w:rsidRPr="003C696F">
        <w:rPr>
          <w:rFonts w:ascii="Arial" w:eastAsia="Times New Roman" w:hAnsi="Arial" w:cs="Arial"/>
          <w:b/>
          <w:bCs/>
          <w:color w:val="000000"/>
          <w:sz w:val="20"/>
          <w:szCs w:val="20"/>
        </w:rPr>
        <w:t>4.8 Undesirable effects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Adverse drug reactions (ADRs) are listed below by </w:t>
      </w:r>
      <w:proofErr w:type="spellStart"/>
      <w:r w:rsidRPr="003C696F">
        <w:rPr>
          <w:rFonts w:ascii="Arial" w:eastAsia="Times New Roman" w:hAnsi="Arial" w:cs="Arial"/>
          <w:color w:val="000000"/>
          <w:sz w:val="19"/>
          <w:szCs w:val="19"/>
        </w:rPr>
        <w:t>MedDRA</w:t>
      </w:r>
      <w:proofErr w:type="spellEnd"/>
      <w:r w:rsidRPr="003C696F">
        <w:rPr>
          <w:rFonts w:ascii="Arial" w:eastAsia="Times New Roman" w:hAnsi="Arial" w:cs="Arial"/>
          <w:color w:val="000000"/>
          <w:sz w:val="19"/>
          <w:szCs w:val="19"/>
        </w:rPr>
        <w:t xml:space="preserve"> system organ class and by frequency. Frequencies are defined as: very common (≥1/10), common (≥1/100 and &lt;1/10), uncommon (≥1/1,000 and &lt;1/100), rare (≥1/10,000 and &lt;1/1,000) and very rare (&lt;1/10,000), including isolated reports.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Post-marketing data</w:t>
      </w:r>
    </w:p>
    <w:tbl>
      <w:tblPr>
        <w:tblW w:w="10365" w:type="dxa"/>
        <w:tblCellMar>
          <w:top w:w="30" w:type="dxa"/>
          <w:left w:w="30" w:type="dxa"/>
          <w:bottom w:w="30" w:type="dxa"/>
          <w:right w:w="30" w:type="dxa"/>
        </w:tblCellMar>
        <w:tblLook w:val="04A0" w:firstRow="1" w:lastRow="0" w:firstColumn="1" w:lastColumn="0" w:noHBand="0" w:noVBand="1"/>
      </w:tblPr>
      <w:tblGrid>
        <w:gridCol w:w="2073"/>
        <w:gridCol w:w="8292"/>
      </w:tblGrid>
      <w:tr w:rsidR="003C696F" w:rsidRPr="003C696F" w:rsidTr="003C696F">
        <w:tc>
          <w:tcPr>
            <w:tcW w:w="5000" w:type="pct"/>
            <w:gridSpan w:val="2"/>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b/>
                <w:bCs/>
                <w:sz w:val="20"/>
                <w:szCs w:val="20"/>
              </w:rPr>
              <w:t>Infections and Infestations</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Very rare</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Opportunistic infection</w:t>
            </w:r>
          </w:p>
        </w:tc>
      </w:tr>
      <w:tr w:rsidR="003C696F" w:rsidRPr="003C696F" w:rsidTr="003C696F">
        <w:tc>
          <w:tcPr>
            <w:tcW w:w="5000" w:type="pct"/>
            <w:gridSpan w:val="2"/>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b/>
                <w:bCs/>
                <w:sz w:val="20"/>
                <w:szCs w:val="20"/>
              </w:rPr>
              <w:t>Immune System Disorders</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Very rare</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 xml:space="preserve">Hypersensitivity, </w:t>
            </w:r>
            <w:proofErr w:type="spellStart"/>
            <w:r w:rsidRPr="003C696F">
              <w:rPr>
                <w:rFonts w:ascii="Arial" w:eastAsia="Times New Roman" w:hAnsi="Arial" w:cs="Arial"/>
                <w:sz w:val="20"/>
                <w:szCs w:val="20"/>
              </w:rPr>
              <w:t>generalised</w:t>
            </w:r>
            <w:proofErr w:type="spellEnd"/>
            <w:r w:rsidRPr="003C696F">
              <w:rPr>
                <w:rFonts w:ascii="Arial" w:eastAsia="Times New Roman" w:hAnsi="Arial" w:cs="Arial"/>
                <w:sz w:val="20"/>
                <w:szCs w:val="20"/>
              </w:rPr>
              <w:t xml:space="preserve"> rash</w:t>
            </w:r>
          </w:p>
        </w:tc>
      </w:tr>
      <w:tr w:rsidR="003C696F" w:rsidRPr="003C696F" w:rsidTr="003C696F">
        <w:tc>
          <w:tcPr>
            <w:tcW w:w="5000" w:type="pct"/>
            <w:gridSpan w:val="2"/>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b/>
                <w:bCs/>
                <w:sz w:val="20"/>
                <w:szCs w:val="20"/>
              </w:rPr>
              <w:t>Endocrine Disorders</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Very rare</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Hypothalamic-pituitary adrenal (HPA) axis suppression</w:t>
            </w:r>
          </w:p>
          <w:p w:rsidR="003C696F" w:rsidRPr="003C696F" w:rsidRDefault="003C696F" w:rsidP="003C696F">
            <w:pPr>
              <w:spacing w:after="0" w:line="240" w:lineRule="auto"/>
              <w:rPr>
                <w:rFonts w:ascii="Arial" w:eastAsia="Times New Roman" w:hAnsi="Arial" w:cs="Arial"/>
                <w:sz w:val="20"/>
                <w:szCs w:val="20"/>
              </w:rPr>
            </w:pPr>
            <w:proofErr w:type="spellStart"/>
            <w:r w:rsidRPr="003C696F">
              <w:rPr>
                <w:rFonts w:ascii="Arial" w:eastAsia="Times New Roman" w:hAnsi="Arial" w:cs="Arial"/>
                <w:sz w:val="20"/>
                <w:szCs w:val="20"/>
              </w:rPr>
              <w:t>Cushingoid</w:t>
            </w:r>
            <w:proofErr w:type="spellEnd"/>
            <w:r w:rsidRPr="003C696F">
              <w:rPr>
                <w:rFonts w:ascii="Arial" w:eastAsia="Times New Roman" w:hAnsi="Arial" w:cs="Arial"/>
                <w:sz w:val="20"/>
                <w:szCs w:val="20"/>
              </w:rPr>
              <w:t xml:space="preserve"> features (e.g. moon face, central obesity), delayed weight gain/growth retardation in children, osteoporosis, glaucoma, </w:t>
            </w:r>
            <w:proofErr w:type="spellStart"/>
            <w:r w:rsidRPr="003C696F">
              <w:rPr>
                <w:rFonts w:ascii="Arial" w:eastAsia="Times New Roman" w:hAnsi="Arial" w:cs="Arial"/>
                <w:sz w:val="20"/>
                <w:szCs w:val="20"/>
              </w:rPr>
              <w:t>hyperglycaemia</w:t>
            </w:r>
            <w:proofErr w:type="spellEnd"/>
            <w:r w:rsidRPr="003C696F">
              <w:rPr>
                <w:rFonts w:ascii="Arial" w:eastAsia="Times New Roman" w:hAnsi="Arial" w:cs="Arial"/>
                <w:sz w:val="20"/>
                <w:szCs w:val="20"/>
              </w:rPr>
              <w:t>/</w:t>
            </w:r>
            <w:proofErr w:type="spellStart"/>
            <w:r w:rsidRPr="003C696F">
              <w:rPr>
                <w:rFonts w:ascii="Arial" w:eastAsia="Times New Roman" w:hAnsi="Arial" w:cs="Arial"/>
                <w:sz w:val="20"/>
                <w:szCs w:val="20"/>
              </w:rPr>
              <w:t>glucosuria</w:t>
            </w:r>
            <w:proofErr w:type="spellEnd"/>
            <w:r w:rsidRPr="003C696F">
              <w:rPr>
                <w:rFonts w:ascii="Arial" w:eastAsia="Times New Roman" w:hAnsi="Arial" w:cs="Arial"/>
                <w:sz w:val="20"/>
                <w:szCs w:val="20"/>
              </w:rPr>
              <w:t xml:space="preserve">, cataract, hypertension, increased weight/obesity, decreased endogenous cortisol levels, alopecia, </w:t>
            </w:r>
            <w:proofErr w:type="spellStart"/>
            <w:r w:rsidRPr="003C696F">
              <w:rPr>
                <w:rFonts w:ascii="Arial" w:eastAsia="Times New Roman" w:hAnsi="Arial" w:cs="Arial"/>
                <w:sz w:val="20"/>
                <w:szCs w:val="20"/>
              </w:rPr>
              <w:t>trichorrhexis</w:t>
            </w:r>
            <w:proofErr w:type="spellEnd"/>
          </w:p>
        </w:tc>
      </w:tr>
      <w:tr w:rsidR="003C696F" w:rsidRPr="003C696F" w:rsidTr="003C696F">
        <w:tc>
          <w:tcPr>
            <w:tcW w:w="5000" w:type="pct"/>
            <w:gridSpan w:val="2"/>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b/>
                <w:bCs/>
                <w:sz w:val="20"/>
                <w:szCs w:val="20"/>
              </w:rPr>
              <w:t>Skin and Subcutaneous Tissue Disorders</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Common</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Pruritus, local skin burning /skin pain</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Very rare</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 xml:space="preserve">Allergic contact dermatitis /dermatitis, erythema, rash, </w:t>
            </w:r>
            <w:proofErr w:type="spellStart"/>
            <w:r w:rsidRPr="003C696F">
              <w:rPr>
                <w:rFonts w:ascii="Arial" w:eastAsia="Times New Roman" w:hAnsi="Arial" w:cs="Arial"/>
                <w:sz w:val="20"/>
                <w:szCs w:val="20"/>
              </w:rPr>
              <w:t>urticaria</w:t>
            </w:r>
            <w:proofErr w:type="spellEnd"/>
            <w:r w:rsidRPr="003C696F">
              <w:rPr>
                <w:rFonts w:ascii="Arial" w:eastAsia="Times New Roman" w:hAnsi="Arial" w:cs="Arial"/>
                <w:sz w:val="20"/>
                <w:szCs w:val="20"/>
              </w:rPr>
              <w:t xml:space="preserve">, </w:t>
            </w:r>
            <w:proofErr w:type="spellStart"/>
            <w:r w:rsidRPr="003C696F">
              <w:rPr>
                <w:rFonts w:ascii="Arial" w:eastAsia="Times New Roman" w:hAnsi="Arial" w:cs="Arial"/>
                <w:sz w:val="20"/>
                <w:szCs w:val="20"/>
              </w:rPr>
              <w:t>pustular</w:t>
            </w:r>
            <w:proofErr w:type="spellEnd"/>
            <w:r w:rsidRPr="003C696F">
              <w:rPr>
                <w:rFonts w:ascii="Arial" w:eastAsia="Times New Roman" w:hAnsi="Arial" w:cs="Arial"/>
                <w:sz w:val="20"/>
                <w:szCs w:val="20"/>
              </w:rPr>
              <w:t xml:space="preserve"> psoriasis, skin thinning* / skin atrophy*, skin wrinkling*, skin dryness*, </w:t>
            </w:r>
            <w:proofErr w:type="spellStart"/>
            <w:r w:rsidRPr="003C696F">
              <w:rPr>
                <w:rFonts w:ascii="Arial" w:eastAsia="Times New Roman" w:hAnsi="Arial" w:cs="Arial"/>
                <w:sz w:val="20"/>
                <w:szCs w:val="20"/>
              </w:rPr>
              <w:t>striae</w:t>
            </w:r>
            <w:proofErr w:type="spellEnd"/>
            <w:r w:rsidRPr="003C696F">
              <w:rPr>
                <w:rFonts w:ascii="Arial" w:eastAsia="Times New Roman" w:hAnsi="Arial" w:cs="Arial"/>
                <w:sz w:val="20"/>
                <w:szCs w:val="20"/>
              </w:rPr>
              <w:t xml:space="preserve">*, </w:t>
            </w:r>
            <w:proofErr w:type="spellStart"/>
            <w:r w:rsidRPr="003C696F">
              <w:rPr>
                <w:rFonts w:ascii="Arial" w:eastAsia="Times New Roman" w:hAnsi="Arial" w:cs="Arial"/>
                <w:sz w:val="20"/>
                <w:szCs w:val="20"/>
              </w:rPr>
              <w:t>telangiectasias</w:t>
            </w:r>
            <w:proofErr w:type="spellEnd"/>
            <w:r w:rsidRPr="003C696F">
              <w:rPr>
                <w:rFonts w:ascii="Arial" w:eastAsia="Times New Roman" w:hAnsi="Arial" w:cs="Arial"/>
                <w:sz w:val="20"/>
                <w:szCs w:val="20"/>
              </w:rPr>
              <w:t xml:space="preserve">*, pigmentation changes*, </w:t>
            </w:r>
            <w:proofErr w:type="spellStart"/>
            <w:r w:rsidRPr="003C696F">
              <w:rPr>
                <w:rFonts w:ascii="Arial" w:eastAsia="Times New Roman" w:hAnsi="Arial" w:cs="Arial"/>
                <w:sz w:val="20"/>
                <w:szCs w:val="20"/>
              </w:rPr>
              <w:t>hypertrichosis</w:t>
            </w:r>
            <w:proofErr w:type="spellEnd"/>
            <w:r w:rsidRPr="003C696F">
              <w:rPr>
                <w:rFonts w:ascii="Arial" w:eastAsia="Times New Roman" w:hAnsi="Arial" w:cs="Arial"/>
                <w:sz w:val="20"/>
                <w:szCs w:val="20"/>
              </w:rPr>
              <w:t>, exacerbation of underlying symptoms</w:t>
            </w:r>
          </w:p>
        </w:tc>
      </w:tr>
      <w:tr w:rsidR="003C696F" w:rsidRPr="003C696F" w:rsidTr="003C696F">
        <w:tc>
          <w:tcPr>
            <w:tcW w:w="5000" w:type="pct"/>
            <w:gridSpan w:val="2"/>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b/>
                <w:bCs/>
                <w:sz w:val="20"/>
                <w:szCs w:val="20"/>
              </w:rPr>
              <w:t>General Disorders and Administration Site Conditions</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Very rare</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Application site irritation/pain</w:t>
            </w:r>
          </w:p>
        </w:tc>
      </w:tr>
      <w:tr w:rsidR="003C696F" w:rsidRPr="003C696F" w:rsidTr="003C696F">
        <w:tc>
          <w:tcPr>
            <w:tcW w:w="5000" w:type="pct"/>
            <w:gridSpan w:val="2"/>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i/>
                <w:iCs/>
                <w:sz w:val="20"/>
                <w:szCs w:val="20"/>
              </w:rPr>
              <w:t>*Skin features secondary to local and/or systemic effects of hypothalamic-pituitary adrenal (HPA) axis suppression.</w:t>
            </w:r>
          </w:p>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b/>
                <w:bCs/>
                <w:sz w:val="20"/>
                <w:szCs w:val="20"/>
              </w:rPr>
              <w:t>Eye disorders</w:t>
            </w:r>
          </w:p>
        </w:tc>
      </w:tr>
      <w:tr w:rsidR="003C696F" w:rsidRPr="003C696F" w:rsidTr="003C696F">
        <w:tc>
          <w:tcPr>
            <w:tcW w:w="1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Not known</w:t>
            </w:r>
          </w:p>
        </w:tc>
        <w:tc>
          <w:tcPr>
            <w:tcW w:w="4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Vision</w:t>
            </w:r>
            <w:r>
              <w:rPr>
                <w:rFonts w:ascii="Arial" w:eastAsia="Times New Roman" w:hAnsi="Arial" w:cs="Arial"/>
                <w:sz w:val="20"/>
                <w:szCs w:val="20"/>
              </w:rPr>
              <w:t>, blurred.</w:t>
            </w:r>
          </w:p>
        </w:tc>
      </w:tr>
    </w:tbl>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u w:val="single"/>
        </w:rPr>
        <w:t>Reporting of suspected reactions: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Reporting suspected adverse reactions after </w:t>
      </w:r>
      <w:proofErr w:type="spellStart"/>
      <w:r w:rsidRPr="003C696F">
        <w:rPr>
          <w:rFonts w:ascii="Arial" w:eastAsia="Times New Roman" w:hAnsi="Arial" w:cs="Arial"/>
          <w:color w:val="000000"/>
          <w:sz w:val="19"/>
          <w:szCs w:val="19"/>
        </w:rPr>
        <w:t>authorisation</w:t>
      </w:r>
      <w:proofErr w:type="spellEnd"/>
      <w:r w:rsidRPr="003C696F">
        <w:rPr>
          <w:rFonts w:ascii="Arial" w:eastAsia="Times New Roman" w:hAnsi="Arial" w:cs="Arial"/>
          <w:color w:val="000000"/>
          <w:sz w:val="19"/>
          <w:szCs w:val="19"/>
        </w:rPr>
        <w:t xml:space="preserve"> of the medicinal product is important. It allows continued monitoring of the benefit/risk balance of the medicinal product. Healthcare professionals are asked to report any suspected adverse reaction</w:t>
      </w:r>
      <w:r>
        <w:rPr>
          <w:rFonts w:ascii="Arial" w:eastAsia="Times New Roman" w:hAnsi="Arial" w:cs="Arial"/>
          <w:color w:val="000000"/>
          <w:sz w:val="19"/>
          <w:szCs w:val="19"/>
        </w:rPr>
        <w:t>s to NAFDAC</w:t>
      </w:r>
      <w:r w:rsidRPr="003C696F">
        <w:rPr>
          <w:rFonts w:ascii="Arial" w:eastAsia="Times New Roman" w:hAnsi="Arial" w:cs="Arial"/>
          <w:color w:val="000000"/>
          <w:sz w:val="19"/>
          <w:szCs w:val="19"/>
        </w:rPr>
        <w:t>.</w:t>
      </w:r>
    </w:p>
    <w:p w:rsidR="003C696F" w:rsidRPr="003C696F" w:rsidRDefault="003C696F" w:rsidP="003C696F">
      <w:pPr>
        <w:shd w:val="clear" w:color="auto" w:fill="FFFFFF"/>
        <w:spacing w:after="0" w:line="240" w:lineRule="auto"/>
        <w:rPr>
          <w:rFonts w:ascii="Arial" w:eastAsia="Times New Roman" w:hAnsi="Arial" w:cs="Arial"/>
          <w:b/>
          <w:bCs/>
          <w:color w:val="000000"/>
          <w:sz w:val="20"/>
          <w:szCs w:val="20"/>
        </w:rPr>
      </w:pPr>
      <w:r w:rsidRPr="003C696F">
        <w:rPr>
          <w:rFonts w:ascii="Arial" w:eastAsia="Times New Roman" w:hAnsi="Arial" w:cs="Arial"/>
          <w:b/>
          <w:bCs/>
          <w:color w:val="000000"/>
          <w:sz w:val="20"/>
          <w:szCs w:val="20"/>
        </w:rPr>
        <w:t>4.9 Overdose</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Symptoms and signs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Topically applied betamethasone </w:t>
      </w:r>
      <w:proofErr w:type="spellStart"/>
      <w:r w:rsidRPr="003C696F">
        <w:rPr>
          <w:rFonts w:ascii="Arial" w:eastAsia="Times New Roman" w:hAnsi="Arial" w:cs="Arial"/>
          <w:color w:val="000000"/>
          <w:sz w:val="19"/>
          <w:szCs w:val="19"/>
        </w:rPr>
        <w:t>valerate</w:t>
      </w:r>
      <w:proofErr w:type="spellEnd"/>
      <w:r w:rsidRPr="003C696F">
        <w:rPr>
          <w:rFonts w:ascii="Arial" w:eastAsia="Times New Roman" w:hAnsi="Arial" w:cs="Arial"/>
          <w:color w:val="000000"/>
          <w:sz w:val="19"/>
          <w:szCs w:val="19"/>
        </w:rPr>
        <w:t xml:space="preserve"> may be absorbed in sufficient amounts to produce systemic effects. Acute </w:t>
      </w:r>
      <w:proofErr w:type="spellStart"/>
      <w:r w:rsidRPr="003C696F">
        <w:rPr>
          <w:rFonts w:ascii="Arial" w:eastAsia="Times New Roman" w:hAnsi="Arial" w:cs="Arial"/>
          <w:color w:val="000000"/>
          <w:sz w:val="19"/>
          <w:szCs w:val="19"/>
        </w:rPr>
        <w:t>overdosage</w:t>
      </w:r>
      <w:proofErr w:type="spellEnd"/>
      <w:r w:rsidRPr="003C696F">
        <w:rPr>
          <w:rFonts w:ascii="Arial" w:eastAsia="Times New Roman" w:hAnsi="Arial" w:cs="Arial"/>
          <w:color w:val="000000"/>
          <w:sz w:val="19"/>
          <w:szCs w:val="19"/>
        </w:rPr>
        <w:t xml:space="preserve"> is very unlikely to occur, however, in the case of chronic </w:t>
      </w:r>
      <w:proofErr w:type="spellStart"/>
      <w:r w:rsidRPr="003C696F">
        <w:rPr>
          <w:rFonts w:ascii="Arial" w:eastAsia="Times New Roman" w:hAnsi="Arial" w:cs="Arial"/>
          <w:color w:val="000000"/>
          <w:sz w:val="19"/>
          <w:szCs w:val="19"/>
        </w:rPr>
        <w:t>overdosage</w:t>
      </w:r>
      <w:proofErr w:type="spellEnd"/>
      <w:r w:rsidRPr="003C696F">
        <w:rPr>
          <w:rFonts w:ascii="Arial" w:eastAsia="Times New Roman" w:hAnsi="Arial" w:cs="Arial"/>
          <w:color w:val="000000"/>
          <w:sz w:val="19"/>
          <w:szCs w:val="19"/>
        </w:rPr>
        <w:t xml:space="preserve"> or misuse the features</w:t>
      </w:r>
      <w:r>
        <w:rPr>
          <w:rFonts w:ascii="Arial" w:eastAsia="Times New Roman" w:hAnsi="Arial" w:cs="Arial"/>
          <w:color w:val="000000"/>
          <w:sz w:val="19"/>
          <w:szCs w:val="19"/>
        </w:rPr>
        <w:t xml:space="preserve"> of </w:t>
      </w:r>
      <w:proofErr w:type="spellStart"/>
      <w:r>
        <w:rPr>
          <w:rFonts w:ascii="Arial" w:eastAsia="Times New Roman" w:hAnsi="Arial" w:cs="Arial"/>
          <w:color w:val="000000"/>
          <w:sz w:val="19"/>
          <w:szCs w:val="19"/>
        </w:rPr>
        <w:t>hypercortisolism</w:t>
      </w:r>
      <w:proofErr w:type="spellEnd"/>
      <w:r>
        <w:rPr>
          <w:rFonts w:ascii="Arial" w:eastAsia="Times New Roman" w:hAnsi="Arial" w:cs="Arial"/>
          <w:color w:val="000000"/>
          <w:sz w:val="19"/>
          <w:szCs w:val="19"/>
        </w:rPr>
        <w:t xml:space="preserve"> may occur</w:t>
      </w:r>
      <w:r w:rsidRPr="003C696F">
        <w:rPr>
          <w:rFonts w:ascii="Arial" w:eastAsia="Times New Roman" w:hAnsi="Arial" w:cs="Arial"/>
          <w:color w:val="000000"/>
          <w:sz w:val="19"/>
          <w:szCs w:val="19"/>
        </w:rPr>
        <w:t>.</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Treatment</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lastRenderedPageBreak/>
        <w:t xml:space="preserve">In the event of </w:t>
      </w:r>
      <w:r>
        <w:rPr>
          <w:rFonts w:ascii="Arial" w:eastAsia="Times New Roman" w:hAnsi="Arial" w:cs="Arial"/>
          <w:color w:val="000000"/>
          <w:sz w:val="19"/>
          <w:szCs w:val="19"/>
        </w:rPr>
        <w:t xml:space="preserve">overdose, betamethasone </w:t>
      </w:r>
      <w:proofErr w:type="spellStart"/>
      <w:r>
        <w:rPr>
          <w:rFonts w:ascii="Arial" w:eastAsia="Times New Roman" w:hAnsi="Arial" w:cs="Arial"/>
          <w:color w:val="000000"/>
          <w:sz w:val="19"/>
          <w:szCs w:val="19"/>
        </w:rPr>
        <w:t>dipropionate</w:t>
      </w:r>
      <w:proofErr w:type="spellEnd"/>
      <w:r w:rsidRPr="003C696F">
        <w:rPr>
          <w:rFonts w:ascii="Arial" w:eastAsia="Times New Roman" w:hAnsi="Arial" w:cs="Arial"/>
          <w:color w:val="000000"/>
          <w:sz w:val="19"/>
          <w:szCs w:val="19"/>
        </w:rPr>
        <w:t xml:space="preserve"> should be withdrawn gradually by reducing the frequency of application, or by substituting a less potent corticosteroid because of the risk of </w:t>
      </w:r>
      <w:proofErr w:type="spellStart"/>
      <w:r w:rsidRPr="003C696F">
        <w:rPr>
          <w:rFonts w:ascii="Arial" w:eastAsia="Times New Roman" w:hAnsi="Arial" w:cs="Arial"/>
          <w:color w:val="000000"/>
          <w:sz w:val="19"/>
          <w:szCs w:val="19"/>
        </w:rPr>
        <w:t>glucocorticosteroid</w:t>
      </w:r>
      <w:proofErr w:type="spellEnd"/>
      <w:r w:rsidRPr="003C696F">
        <w:rPr>
          <w:rFonts w:ascii="Arial" w:eastAsia="Times New Roman" w:hAnsi="Arial" w:cs="Arial"/>
          <w:color w:val="000000"/>
          <w:sz w:val="19"/>
          <w:szCs w:val="19"/>
        </w:rPr>
        <w:t xml:space="preserve"> insufficiency.</w:t>
      </w:r>
    </w:p>
    <w:p w:rsidR="003C696F" w:rsidRPr="003C696F" w:rsidRDefault="003C696F" w:rsidP="003C696F">
      <w:pPr>
        <w:shd w:val="clear" w:color="auto" w:fill="FFFFFF"/>
        <w:spacing w:after="150" w:line="240" w:lineRule="auto"/>
        <w:rPr>
          <w:rFonts w:ascii="Arial" w:eastAsia="Times New Roman" w:hAnsi="Arial" w:cs="Arial"/>
          <w:b/>
          <w:bCs/>
          <w:color w:val="397360"/>
          <w:sz w:val="29"/>
          <w:szCs w:val="29"/>
        </w:rPr>
      </w:pPr>
      <w:r w:rsidRPr="003C696F">
        <w:rPr>
          <w:rFonts w:ascii="Arial" w:eastAsia="Times New Roman" w:hAnsi="Arial" w:cs="Arial"/>
          <w:b/>
          <w:bCs/>
          <w:color w:val="397360"/>
          <w:sz w:val="29"/>
          <w:szCs w:val="29"/>
        </w:rPr>
        <w:t>5. Pharmacological properties</w:t>
      </w:r>
    </w:p>
    <w:p w:rsidR="003C696F" w:rsidRPr="003C696F" w:rsidRDefault="003C696F" w:rsidP="003C696F">
      <w:pPr>
        <w:shd w:val="clear" w:color="auto" w:fill="FFFFFF"/>
        <w:spacing w:after="0" w:line="240" w:lineRule="auto"/>
        <w:rPr>
          <w:rFonts w:ascii="Arial" w:eastAsia="Times New Roman" w:hAnsi="Arial" w:cs="Arial"/>
          <w:b/>
          <w:bCs/>
          <w:color w:val="000000"/>
          <w:sz w:val="20"/>
          <w:szCs w:val="20"/>
        </w:rPr>
      </w:pPr>
      <w:r w:rsidRPr="003C696F">
        <w:rPr>
          <w:rFonts w:ascii="Arial" w:eastAsia="Times New Roman" w:hAnsi="Arial" w:cs="Arial"/>
          <w:b/>
          <w:bCs/>
          <w:color w:val="000000"/>
          <w:sz w:val="20"/>
          <w:szCs w:val="20"/>
        </w:rPr>
        <w:t xml:space="preserve">5.1 </w:t>
      </w:r>
      <w:proofErr w:type="spellStart"/>
      <w:r w:rsidRPr="003C696F">
        <w:rPr>
          <w:rFonts w:ascii="Arial" w:eastAsia="Times New Roman" w:hAnsi="Arial" w:cs="Arial"/>
          <w:b/>
          <w:bCs/>
          <w:color w:val="000000"/>
          <w:sz w:val="20"/>
          <w:szCs w:val="20"/>
        </w:rPr>
        <w:t>Pharmacodynamic</w:t>
      </w:r>
      <w:proofErr w:type="spellEnd"/>
      <w:r w:rsidRPr="003C696F">
        <w:rPr>
          <w:rFonts w:ascii="Arial" w:eastAsia="Times New Roman" w:hAnsi="Arial" w:cs="Arial"/>
          <w:b/>
          <w:bCs/>
          <w:color w:val="000000"/>
          <w:sz w:val="20"/>
          <w:szCs w:val="20"/>
        </w:rPr>
        <w:t xml:space="preserve"> properties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Mechanism of action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Topical corticosteroids act as anti-inflammatory agents via multiple mechanisms to inhibit late phase allergic reactions including decreasing the density of mast cells, decreasing </w:t>
      </w:r>
      <w:proofErr w:type="spellStart"/>
      <w:r w:rsidRPr="003C696F">
        <w:rPr>
          <w:rFonts w:ascii="Arial" w:eastAsia="Times New Roman" w:hAnsi="Arial" w:cs="Arial"/>
          <w:color w:val="000000"/>
          <w:sz w:val="19"/>
          <w:szCs w:val="19"/>
        </w:rPr>
        <w:t>chemotaxis</w:t>
      </w:r>
      <w:proofErr w:type="spellEnd"/>
      <w:r w:rsidRPr="003C696F">
        <w:rPr>
          <w:rFonts w:ascii="Arial" w:eastAsia="Times New Roman" w:hAnsi="Arial" w:cs="Arial"/>
          <w:color w:val="000000"/>
          <w:sz w:val="19"/>
          <w:szCs w:val="19"/>
        </w:rPr>
        <w:t xml:space="preserve"> and activation of </w:t>
      </w:r>
      <w:proofErr w:type="spellStart"/>
      <w:r w:rsidRPr="003C696F">
        <w:rPr>
          <w:rFonts w:ascii="Arial" w:eastAsia="Times New Roman" w:hAnsi="Arial" w:cs="Arial"/>
          <w:color w:val="000000"/>
          <w:sz w:val="19"/>
          <w:szCs w:val="19"/>
        </w:rPr>
        <w:t>eosinophils</w:t>
      </w:r>
      <w:proofErr w:type="spellEnd"/>
      <w:r w:rsidRPr="003C696F">
        <w:rPr>
          <w:rFonts w:ascii="Arial" w:eastAsia="Times New Roman" w:hAnsi="Arial" w:cs="Arial"/>
          <w:color w:val="000000"/>
          <w:sz w:val="19"/>
          <w:szCs w:val="19"/>
        </w:rPr>
        <w:t xml:space="preserve">, decreasing cytokine production by lymphocytes, monocytes, mast cells and </w:t>
      </w:r>
      <w:proofErr w:type="spellStart"/>
      <w:r w:rsidRPr="003C696F">
        <w:rPr>
          <w:rFonts w:ascii="Arial" w:eastAsia="Times New Roman" w:hAnsi="Arial" w:cs="Arial"/>
          <w:color w:val="000000"/>
          <w:sz w:val="19"/>
          <w:szCs w:val="19"/>
        </w:rPr>
        <w:t>eosinophils</w:t>
      </w:r>
      <w:proofErr w:type="spellEnd"/>
      <w:r w:rsidRPr="003C696F">
        <w:rPr>
          <w:rFonts w:ascii="Arial" w:eastAsia="Times New Roman" w:hAnsi="Arial" w:cs="Arial"/>
          <w:color w:val="000000"/>
          <w:sz w:val="19"/>
          <w:szCs w:val="19"/>
        </w:rPr>
        <w:t xml:space="preserve">, and inhibiting the metabolism of </w:t>
      </w:r>
      <w:proofErr w:type="spellStart"/>
      <w:r w:rsidRPr="003C696F">
        <w:rPr>
          <w:rFonts w:ascii="Arial" w:eastAsia="Times New Roman" w:hAnsi="Arial" w:cs="Arial"/>
          <w:color w:val="000000"/>
          <w:sz w:val="19"/>
          <w:szCs w:val="19"/>
        </w:rPr>
        <w:t>arachidonic</w:t>
      </w:r>
      <w:proofErr w:type="spellEnd"/>
      <w:r w:rsidRPr="003C696F">
        <w:rPr>
          <w:rFonts w:ascii="Arial" w:eastAsia="Times New Roman" w:hAnsi="Arial" w:cs="Arial"/>
          <w:color w:val="000000"/>
          <w:sz w:val="19"/>
          <w:szCs w:val="19"/>
        </w:rPr>
        <w:t xml:space="preserve"> acid.</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proofErr w:type="spellStart"/>
      <w:r w:rsidRPr="003C696F">
        <w:rPr>
          <w:rFonts w:ascii="Arial" w:eastAsia="Times New Roman" w:hAnsi="Arial" w:cs="Arial"/>
          <w:b/>
          <w:bCs/>
          <w:color w:val="000000"/>
          <w:sz w:val="19"/>
          <w:szCs w:val="19"/>
        </w:rPr>
        <w:t>Pharmacodynamic</w:t>
      </w:r>
      <w:proofErr w:type="spellEnd"/>
      <w:r w:rsidRPr="003C696F">
        <w:rPr>
          <w:rFonts w:ascii="Arial" w:eastAsia="Times New Roman" w:hAnsi="Arial" w:cs="Arial"/>
          <w:b/>
          <w:bCs/>
          <w:color w:val="000000"/>
          <w:sz w:val="19"/>
          <w:szCs w:val="19"/>
        </w:rPr>
        <w:t xml:space="preserve"> effects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Topical corticosteroids have anti-inflammatory, antipruritic, and </w:t>
      </w:r>
      <w:proofErr w:type="spellStart"/>
      <w:r w:rsidRPr="003C696F">
        <w:rPr>
          <w:rFonts w:ascii="Arial" w:eastAsia="Times New Roman" w:hAnsi="Arial" w:cs="Arial"/>
          <w:color w:val="000000"/>
          <w:sz w:val="19"/>
          <w:szCs w:val="19"/>
        </w:rPr>
        <w:t>vasoconstrictive</w:t>
      </w:r>
      <w:proofErr w:type="spellEnd"/>
      <w:r w:rsidRPr="003C696F">
        <w:rPr>
          <w:rFonts w:ascii="Arial" w:eastAsia="Times New Roman" w:hAnsi="Arial" w:cs="Arial"/>
          <w:color w:val="000000"/>
          <w:sz w:val="19"/>
          <w:szCs w:val="19"/>
        </w:rPr>
        <w:t xml:space="preserve"> properties.</w:t>
      </w:r>
    </w:p>
    <w:p w:rsidR="003C696F" w:rsidRPr="003C696F" w:rsidRDefault="003C696F" w:rsidP="003C696F">
      <w:pPr>
        <w:shd w:val="clear" w:color="auto" w:fill="FFFFFF"/>
        <w:spacing w:after="0" w:line="240" w:lineRule="auto"/>
        <w:rPr>
          <w:rFonts w:ascii="Arial" w:eastAsia="Times New Roman" w:hAnsi="Arial" w:cs="Arial"/>
          <w:b/>
          <w:bCs/>
          <w:color w:val="000000"/>
          <w:sz w:val="20"/>
          <w:szCs w:val="20"/>
        </w:rPr>
      </w:pPr>
      <w:r w:rsidRPr="003C696F">
        <w:rPr>
          <w:rFonts w:ascii="Arial" w:eastAsia="Times New Roman" w:hAnsi="Arial" w:cs="Arial"/>
          <w:b/>
          <w:bCs/>
          <w:color w:val="000000"/>
          <w:sz w:val="20"/>
          <w:szCs w:val="20"/>
        </w:rPr>
        <w:t>5.2 Pharmacokinetic properties</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Absorption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Topical corticosteroids can be systemically absorbed from intact healthy skin. The extent of percutaneous absorption of topical corticosteroids is determined by many factors, including the vehicle and the integrity of the epidermal barrier. Occlusion, inflammation and/or other disease processes in the skin may also increase percutaneous absorption.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Distribution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The use of </w:t>
      </w:r>
      <w:proofErr w:type="spellStart"/>
      <w:r w:rsidRPr="003C696F">
        <w:rPr>
          <w:rFonts w:ascii="Arial" w:eastAsia="Times New Roman" w:hAnsi="Arial" w:cs="Arial"/>
          <w:color w:val="000000"/>
          <w:sz w:val="19"/>
          <w:szCs w:val="19"/>
        </w:rPr>
        <w:t>pharmacodynamic</w:t>
      </w:r>
      <w:proofErr w:type="spellEnd"/>
      <w:r w:rsidRPr="003C696F">
        <w:rPr>
          <w:rFonts w:ascii="Arial" w:eastAsia="Times New Roman" w:hAnsi="Arial" w:cs="Arial"/>
          <w:color w:val="000000"/>
          <w:sz w:val="19"/>
          <w:szCs w:val="19"/>
        </w:rPr>
        <w:t xml:space="preserve"> endpoints for assessing the systemic exposure of topical corticosteroids is necessary because circulating levels are well below the level of detection.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Metabolism</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 xml:space="preserve">Once absorbed through the skin, topical corticosteroids are handled through pharmacokinetic pathways similar to systemically administered corticosteroids. They are </w:t>
      </w:r>
      <w:proofErr w:type="spellStart"/>
      <w:r w:rsidRPr="003C696F">
        <w:rPr>
          <w:rFonts w:ascii="Arial" w:eastAsia="Times New Roman" w:hAnsi="Arial" w:cs="Arial"/>
          <w:color w:val="000000"/>
          <w:sz w:val="19"/>
          <w:szCs w:val="19"/>
        </w:rPr>
        <w:t>metabolised</w:t>
      </w:r>
      <w:proofErr w:type="spellEnd"/>
      <w:r w:rsidRPr="003C696F">
        <w:rPr>
          <w:rFonts w:ascii="Arial" w:eastAsia="Times New Roman" w:hAnsi="Arial" w:cs="Arial"/>
          <w:color w:val="000000"/>
          <w:sz w:val="19"/>
          <w:szCs w:val="19"/>
        </w:rPr>
        <w:t>, primarily in the liver.</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Elimination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Topical corticosteroids are excreted by the kidneys. In addition, some corticosteroids and their metabolites are also excreted in the bile.</w:t>
      </w:r>
    </w:p>
    <w:p w:rsidR="003C696F" w:rsidRPr="003C696F" w:rsidRDefault="003C696F" w:rsidP="003C696F">
      <w:pPr>
        <w:shd w:val="clear" w:color="auto" w:fill="FFFFFF"/>
        <w:spacing w:after="0" w:line="240" w:lineRule="auto"/>
        <w:rPr>
          <w:rFonts w:ascii="Arial" w:eastAsia="Times New Roman" w:hAnsi="Arial" w:cs="Arial"/>
          <w:b/>
          <w:bCs/>
          <w:color w:val="000000"/>
          <w:sz w:val="20"/>
          <w:szCs w:val="20"/>
        </w:rPr>
      </w:pPr>
      <w:r w:rsidRPr="003C696F">
        <w:rPr>
          <w:rFonts w:ascii="Arial" w:eastAsia="Times New Roman" w:hAnsi="Arial" w:cs="Arial"/>
          <w:b/>
          <w:bCs/>
          <w:color w:val="000000"/>
          <w:sz w:val="20"/>
          <w:szCs w:val="20"/>
        </w:rPr>
        <w:t>5.3 Preclinical safety data</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b/>
          <w:bCs/>
          <w:color w:val="000000"/>
          <w:sz w:val="19"/>
          <w:szCs w:val="19"/>
        </w:rPr>
        <w:t>Reproductive toxicity</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Subcutaneous administ</w:t>
      </w:r>
      <w:r>
        <w:rPr>
          <w:rFonts w:ascii="Arial" w:eastAsia="Times New Roman" w:hAnsi="Arial" w:cs="Arial"/>
          <w:color w:val="000000"/>
          <w:sz w:val="19"/>
          <w:szCs w:val="19"/>
        </w:rPr>
        <w:t xml:space="preserve">ration of betamethasone </w:t>
      </w:r>
      <w:proofErr w:type="spellStart"/>
      <w:r>
        <w:rPr>
          <w:rFonts w:ascii="Arial" w:eastAsia="Times New Roman" w:hAnsi="Arial" w:cs="Arial"/>
          <w:color w:val="000000"/>
          <w:sz w:val="19"/>
          <w:szCs w:val="19"/>
        </w:rPr>
        <w:t>dipropionate</w:t>
      </w:r>
      <w:proofErr w:type="spellEnd"/>
      <w:r w:rsidRPr="003C696F">
        <w:rPr>
          <w:rFonts w:ascii="Arial" w:eastAsia="Times New Roman" w:hAnsi="Arial" w:cs="Arial"/>
          <w:color w:val="000000"/>
          <w:sz w:val="19"/>
          <w:szCs w:val="19"/>
        </w:rPr>
        <w:t xml:space="preserve"> to mice or rats at doses ≥0.1 mg/kg/day or rabbits at doses ≥12 micrograms/kg/day during pregnancy produced </w:t>
      </w:r>
      <w:proofErr w:type="spellStart"/>
      <w:r w:rsidRPr="003C696F">
        <w:rPr>
          <w:rFonts w:ascii="Arial" w:eastAsia="Times New Roman" w:hAnsi="Arial" w:cs="Arial"/>
          <w:color w:val="000000"/>
          <w:sz w:val="19"/>
          <w:szCs w:val="19"/>
        </w:rPr>
        <w:t>foetal</w:t>
      </w:r>
      <w:proofErr w:type="spellEnd"/>
      <w:r w:rsidRPr="003C696F">
        <w:rPr>
          <w:rFonts w:ascii="Arial" w:eastAsia="Times New Roman" w:hAnsi="Arial" w:cs="Arial"/>
          <w:color w:val="000000"/>
          <w:sz w:val="19"/>
          <w:szCs w:val="19"/>
        </w:rPr>
        <w:t xml:space="preserve"> abnormalities including cleft palate and intrauterine growth retardation.</w:t>
      </w:r>
    </w:p>
    <w:p w:rsidR="003C696F" w:rsidRPr="003C696F" w:rsidRDefault="003C696F" w:rsidP="003C696F">
      <w:pPr>
        <w:shd w:val="clear" w:color="auto" w:fill="FFFFFF"/>
        <w:spacing w:after="143" w:line="240" w:lineRule="auto"/>
        <w:rPr>
          <w:rFonts w:ascii="Arial" w:eastAsia="Times New Roman" w:hAnsi="Arial" w:cs="Arial"/>
          <w:color w:val="000000"/>
          <w:sz w:val="19"/>
          <w:szCs w:val="19"/>
        </w:rPr>
      </w:pPr>
      <w:r w:rsidRPr="003C696F">
        <w:rPr>
          <w:rFonts w:ascii="Arial" w:eastAsia="Times New Roman" w:hAnsi="Arial" w:cs="Arial"/>
          <w:color w:val="000000"/>
          <w:sz w:val="19"/>
          <w:szCs w:val="19"/>
        </w:rPr>
        <w:t>The effect on fer</w:t>
      </w:r>
      <w:r>
        <w:rPr>
          <w:rFonts w:ascii="Arial" w:eastAsia="Times New Roman" w:hAnsi="Arial" w:cs="Arial"/>
          <w:color w:val="000000"/>
          <w:sz w:val="19"/>
          <w:szCs w:val="19"/>
        </w:rPr>
        <w:t xml:space="preserve">tility of betamethasone </w:t>
      </w:r>
      <w:proofErr w:type="spellStart"/>
      <w:r>
        <w:rPr>
          <w:rFonts w:ascii="Arial" w:eastAsia="Times New Roman" w:hAnsi="Arial" w:cs="Arial"/>
          <w:color w:val="000000"/>
          <w:sz w:val="19"/>
          <w:szCs w:val="19"/>
        </w:rPr>
        <w:t>dipropionate</w:t>
      </w:r>
      <w:proofErr w:type="spellEnd"/>
      <w:r w:rsidRPr="003C696F">
        <w:rPr>
          <w:rFonts w:ascii="Arial" w:eastAsia="Times New Roman" w:hAnsi="Arial" w:cs="Arial"/>
          <w:color w:val="000000"/>
          <w:sz w:val="19"/>
          <w:szCs w:val="19"/>
        </w:rPr>
        <w:t xml:space="preserve"> has not been evaluated in animals.</w:t>
      </w:r>
    </w:p>
    <w:p w:rsidR="003C696F" w:rsidRPr="003C696F" w:rsidRDefault="003C696F" w:rsidP="003C696F">
      <w:pPr>
        <w:shd w:val="clear" w:color="auto" w:fill="FFFFFF"/>
        <w:spacing w:after="150" w:line="240" w:lineRule="auto"/>
        <w:rPr>
          <w:rFonts w:ascii="Arial" w:eastAsia="Times New Roman" w:hAnsi="Arial" w:cs="Arial"/>
          <w:b/>
          <w:bCs/>
          <w:color w:val="397360"/>
          <w:sz w:val="29"/>
          <w:szCs w:val="29"/>
        </w:rPr>
      </w:pPr>
      <w:r w:rsidRPr="003C696F">
        <w:rPr>
          <w:rFonts w:ascii="Arial" w:eastAsia="Times New Roman" w:hAnsi="Arial" w:cs="Arial"/>
          <w:b/>
          <w:bCs/>
          <w:color w:val="397360"/>
          <w:sz w:val="29"/>
          <w:szCs w:val="29"/>
        </w:rPr>
        <w:t>6. Pharmaceutical particulars</w:t>
      </w:r>
    </w:p>
    <w:p w:rsidR="003C696F" w:rsidRPr="003C696F" w:rsidRDefault="003C696F" w:rsidP="003C696F">
      <w:pPr>
        <w:shd w:val="clear" w:color="auto" w:fill="FFFFFF"/>
        <w:spacing w:after="0" w:line="240" w:lineRule="auto"/>
        <w:rPr>
          <w:rFonts w:ascii="Arial" w:eastAsia="Times New Roman" w:hAnsi="Arial" w:cs="Arial"/>
          <w:b/>
          <w:bCs/>
          <w:color w:val="000000"/>
          <w:sz w:val="20"/>
          <w:szCs w:val="20"/>
        </w:rPr>
      </w:pPr>
      <w:r w:rsidRPr="003C696F">
        <w:rPr>
          <w:rFonts w:ascii="Arial" w:eastAsia="Times New Roman" w:hAnsi="Arial" w:cs="Arial"/>
          <w:b/>
          <w:bCs/>
          <w:color w:val="000000"/>
          <w:sz w:val="20"/>
          <w:szCs w:val="20"/>
        </w:rPr>
        <w:t>6.1 List of excipients</w:t>
      </w:r>
    </w:p>
    <w:tbl>
      <w:tblPr>
        <w:tblW w:w="10365" w:type="dxa"/>
        <w:tblCellMar>
          <w:top w:w="30" w:type="dxa"/>
          <w:left w:w="30" w:type="dxa"/>
          <w:bottom w:w="30" w:type="dxa"/>
          <w:right w:w="30" w:type="dxa"/>
        </w:tblCellMar>
        <w:tblLook w:val="04A0" w:firstRow="1" w:lastRow="0" w:firstColumn="1" w:lastColumn="0" w:noHBand="0" w:noVBand="1"/>
      </w:tblPr>
      <w:tblGrid>
        <w:gridCol w:w="4146"/>
        <w:gridCol w:w="6219"/>
      </w:tblGrid>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proofErr w:type="spellStart"/>
            <w:r w:rsidRPr="003C696F">
              <w:rPr>
                <w:rFonts w:ascii="Arial" w:eastAsia="Times New Roman" w:hAnsi="Arial" w:cs="Arial"/>
                <w:sz w:val="20"/>
                <w:szCs w:val="20"/>
              </w:rPr>
              <w:t>Chlorocresol</w:t>
            </w:r>
            <w:proofErr w:type="spellEnd"/>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White Soft Paraffin</w:t>
            </w: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Liquid Paraffin</w:t>
            </w: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Sodium Acid Phosphate</w:t>
            </w: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Phosphoric Acid</w:t>
            </w: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Sodium Hydroxide</w:t>
            </w: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r w:rsidR="003C696F" w:rsidRPr="003C696F" w:rsidTr="003C696F">
        <w:tc>
          <w:tcPr>
            <w:tcW w:w="2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Purified Water</w:t>
            </w:r>
          </w:p>
        </w:tc>
        <w:tc>
          <w:tcPr>
            <w:tcW w:w="3000" w:type="pct"/>
            <w:tcBorders>
              <w:top w:val="nil"/>
              <w:left w:val="nil"/>
              <w:bottom w:val="nil"/>
              <w:right w:val="nil"/>
            </w:tcBorders>
            <w:shd w:val="clear" w:color="auto" w:fill="auto"/>
            <w:hideMark/>
          </w:tcPr>
          <w:p w:rsidR="003C696F" w:rsidRPr="003C696F" w:rsidRDefault="003C696F" w:rsidP="003C696F">
            <w:pPr>
              <w:spacing w:after="0" w:line="240" w:lineRule="auto"/>
              <w:rPr>
                <w:rFonts w:ascii="Arial" w:eastAsia="Times New Roman" w:hAnsi="Arial" w:cs="Arial"/>
                <w:sz w:val="20"/>
                <w:szCs w:val="20"/>
              </w:rPr>
            </w:pPr>
            <w:r w:rsidRPr="003C696F">
              <w:rPr>
                <w:rFonts w:ascii="Arial" w:eastAsia="Times New Roman" w:hAnsi="Arial" w:cs="Arial"/>
                <w:sz w:val="20"/>
                <w:szCs w:val="20"/>
              </w:rPr>
              <w:t>BP</w:t>
            </w:r>
          </w:p>
        </w:tc>
      </w:tr>
    </w:tbl>
    <w:p w:rsidR="003C696F" w:rsidRDefault="003C696F"/>
    <w:p w:rsidR="00987C5B" w:rsidRPr="00F565D5" w:rsidRDefault="00987C5B" w:rsidP="00987C5B">
      <w:pPr>
        <w:shd w:val="clear" w:color="auto" w:fill="FFFFFF"/>
        <w:spacing w:after="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lastRenderedPageBreak/>
        <w:t>6.2 Incompatibilities</w:t>
      </w:r>
    </w:p>
    <w:p w:rsidR="00987C5B" w:rsidRPr="00F565D5" w:rsidRDefault="00987C5B" w:rsidP="00987C5B">
      <w:pPr>
        <w:shd w:val="clear" w:color="auto" w:fill="FFFFFF"/>
        <w:spacing w:after="143" w:line="240" w:lineRule="auto"/>
        <w:jc w:val="both"/>
        <w:rPr>
          <w:rFonts w:ascii="Tahoma" w:eastAsia="Times New Roman" w:hAnsi="Tahoma" w:cs="Tahoma"/>
          <w:sz w:val="18"/>
          <w:szCs w:val="18"/>
        </w:rPr>
      </w:pPr>
      <w:r w:rsidRPr="00F565D5">
        <w:rPr>
          <w:rFonts w:ascii="Tahoma" w:eastAsia="Times New Roman" w:hAnsi="Tahoma" w:cs="Tahoma"/>
          <w:sz w:val="18"/>
          <w:szCs w:val="18"/>
        </w:rPr>
        <w:t>Not applicable.</w:t>
      </w:r>
    </w:p>
    <w:p w:rsidR="00987C5B" w:rsidRPr="00F565D5" w:rsidRDefault="00987C5B" w:rsidP="00987C5B">
      <w:pPr>
        <w:shd w:val="clear" w:color="auto" w:fill="FFFFFF"/>
        <w:spacing w:after="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6.3 Shelf life</w:t>
      </w:r>
    </w:p>
    <w:p w:rsidR="00987C5B" w:rsidRPr="00F565D5" w:rsidRDefault="00987C5B" w:rsidP="00987C5B">
      <w:pPr>
        <w:shd w:val="clear" w:color="auto" w:fill="FFFFFF"/>
        <w:spacing w:after="143" w:line="240" w:lineRule="auto"/>
        <w:jc w:val="both"/>
        <w:rPr>
          <w:rFonts w:ascii="Tahoma" w:eastAsia="Times New Roman" w:hAnsi="Tahoma" w:cs="Tahoma"/>
          <w:sz w:val="18"/>
          <w:szCs w:val="18"/>
        </w:rPr>
      </w:pPr>
      <w:r>
        <w:rPr>
          <w:rFonts w:ascii="Tahoma" w:eastAsia="Times New Roman" w:hAnsi="Tahoma" w:cs="Tahoma"/>
          <w:sz w:val="18"/>
          <w:szCs w:val="18"/>
        </w:rPr>
        <w:t>3</w:t>
      </w:r>
      <w:r w:rsidRPr="00F565D5">
        <w:rPr>
          <w:rFonts w:ascii="Tahoma" w:eastAsia="Times New Roman" w:hAnsi="Tahoma" w:cs="Tahoma"/>
          <w:sz w:val="18"/>
          <w:szCs w:val="18"/>
        </w:rPr>
        <w:t xml:space="preserve"> years</w:t>
      </w:r>
    </w:p>
    <w:p w:rsidR="00987C5B" w:rsidRPr="00F565D5" w:rsidRDefault="00987C5B" w:rsidP="00987C5B">
      <w:pPr>
        <w:shd w:val="clear" w:color="auto" w:fill="FFFFFF"/>
        <w:spacing w:after="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6.4 Special precautions for storage</w:t>
      </w:r>
    </w:p>
    <w:p w:rsidR="00987C5B" w:rsidRPr="00F565D5" w:rsidRDefault="00987C5B" w:rsidP="00987C5B">
      <w:pPr>
        <w:shd w:val="clear" w:color="auto" w:fill="FFFFFF"/>
        <w:spacing w:after="143" w:line="240" w:lineRule="auto"/>
        <w:jc w:val="both"/>
        <w:rPr>
          <w:rFonts w:ascii="Tahoma" w:eastAsia="Times New Roman" w:hAnsi="Tahoma" w:cs="Tahoma"/>
          <w:sz w:val="18"/>
          <w:szCs w:val="18"/>
        </w:rPr>
      </w:pPr>
      <w:r w:rsidRPr="00F565D5">
        <w:rPr>
          <w:rFonts w:ascii="Tahoma" w:eastAsia="Times New Roman" w:hAnsi="Tahoma" w:cs="Tahoma"/>
          <w:sz w:val="18"/>
          <w:szCs w:val="18"/>
        </w:rPr>
        <w:t>This medicinal product does not require any special storage conditions.</w:t>
      </w:r>
    </w:p>
    <w:p w:rsidR="00987C5B" w:rsidRPr="004A0D16" w:rsidRDefault="00987C5B" w:rsidP="004A0D16">
      <w:pPr>
        <w:shd w:val="clear" w:color="auto" w:fill="FFFFFF"/>
        <w:spacing w:after="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6.5 Nature and contents of container</w:t>
      </w:r>
      <w:bookmarkStart w:id="0" w:name="_GoBack"/>
      <w:bookmarkEnd w:id="0"/>
    </w:p>
    <w:p w:rsidR="00987C5B" w:rsidRPr="00F565D5" w:rsidRDefault="00987C5B" w:rsidP="00987C5B">
      <w:pPr>
        <w:shd w:val="clear" w:color="auto" w:fill="FFFFFF"/>
        <w:spacing w:after="143" w:line="240" w:lineRule="auto"/>
        <w:jc w:val="both"/>
        <w:rPr>
          <w:rFonts w:ascii="Tahoma" w:eastAsia="Times New Roman" w:hAnsi="Tahoma" w:cs="Tahoma"/>
          <w:sz w:val="18"/>
          <w:szCs w:val="18"/>
        </w:rPr>
      </w:pPr>
      <w:r w:rsidRPr="00F565D5">
        <w:rPr>
          <w:rFonts w:ascii="Tahoma" w:eastAsia="Times New Roman" w:hAnsi="Tahoma" w:cs="Tahoma"/>
          <w:sz w:val="18"/>
          <w:szCs w:val="18"/>
        </w:rPr>
        <w:t>Pack sizes:</w:t>
      </w:r>
    </w:p>
    <w:p w:rsidR="00987C5B" w:rsidRPr="00F565D5" w:rsidRDefault="004A0D16" w:rsidP="00987C5B">
      <w:pPr>
        <w:shd w:val="clear" w:color="auto" w:fill="FFFFFF"/>
        <w:spacing w:after="143" w:line="240" w:lineRule="auto"/>
        <w:jc w:val="both"/>
        <w:rPr>
          <w:rFonts w:ascii="Tahoma" w:eastAsia="Times New Roman" w:hAnsi="Tahoma" w:cs="Tahoma"/>
          <w:sz w:val="18"/>
          <w:szCs w:val="18"/>
        </w:rPr>
      </w:pPr>
      <w:r>
        <w:rPr>
          <w:rFonts w:ascii="Tahoma" w:eastAsia="Times New Roman" w:hAnsi="Tahoma" w:cs="Tahoma"/>
          <w:sz w:val="18"/>
          <w:szCs w:val="18"/>
        </w:rPr>
        <w:t>A collapsible tube of 20g</w:t>
      </w:r>
    </w:p>
    <w:p w:rsidR="00987C5B" w:rsidRPr="00F565D5" w:rsidRDefault="00987C5B" w:rsidP="00987C5B">
      <w:pPr>
        <w:shd w:val="clear" w:color="auto" w:fill="FFFFFF"/>
        <w:spacing w:after="0" w:line="240" w:lineRule="auto"/>
        <w:jc w:val="both"/>
        <w:rPr>
          <w:rFonts w:ascii="Tahoma" w:eastAsia="Times New Roman" w:hAnsi="Tahoma" w:cs="Tahoma"/>
          <w:b/>
          <w:bCs/>
          <w:sz w:val="18"/>
          <w:szCs w:val="18"/>
        </w:rPr>
      </w:pPr>
      <w:r w:rsidRPr="00F565D5">
        <w:rPr>
          <w:rFonts w:ascii="Tahoma" w:eastAsia="Times New Roman" w:hAnsi="Tahoma" w:cs="Tahoma"/>
          <w:b/>
          <w:bCs/>
          <w:sz w:val="18"/>
          <w:szCs w:val="18"/>
        </w:rPr>
        <w:t>6.6 Special precautions for disposal and other handling</w:t>
      </w:r>
    </w:p>
    <w:p w:rsidR="00987C5B" w:rsidRPr="00F565D5" w:rsidRDefault="00987C5B" w:rsidP="00987C5B">
      <w:pPr>
        <w:jc w:val="both"/>
        <w:rPr>
          <w:rFonts w:ascii="Tahoma" w:hAnsi="Tahoma" w:cs="Tahoma"/>
          <w:sz w:val="18"/>
          <w:szCs w:val="18"/>
        </w:rPr>
      </w:pPr>
    </w:p>
    <w:p w:rsidR="00987C5B" w:rsidRPr="00F565D5" w:rsidRDefault="00987C5B" w:rsidP="00987C5B">
      <w:pPr>
        <w:jc w:val="both"/>
        <w:rPr>
          <w:rFonts w:ascii="Tahoma" w:hAnsi="Tahoma" w:cs="Tahoma"/>
          <w:sz w:val="18"/>
          <w:szCs w:val="18"/>
        </w:rPr>
      </w:pPr>
    </w:p>
    <w:p w:rsidR="00987C5B" w:rsidRPr="00F565D5" w:rsidRDefault="00987C5B" w:rsidP="00987C5B">
      <w:pPr>
        <w:jc w:val="both"/>
        <w:rPr>
          <w:rFonts w:ascii="Tahoma" w:hAnsi="Tahoma" w:cs="Tahoma"/>
          <w:sz w:val="18"/>
          <w:szCs w:val="18"/>
        </w:rPr>
      </w:pPr>
      <w:r w:rsidRPr="00F565D5">
        <w:rPr>
          <w:rFonts w:ascii="Tahoma" w:hAnsi="Tahoma" w:cs="Tahoma"/>
          <w:sz w:val="18"/>
          <w:szCs w:val="18"/>
        </w:rPr>
        <w:t>NAME OF APPLICANT/MANUFACTURER</w:t>
      </w:r>
    </w:p>
    <w:p w:rsidR="00987C5B" w:rsidRPr="00F565D5" w:rsidRDefault="00987C5B" w:rsidP="00987C5B">
      <w:pPr>
        <w:jc w:val="both"/>
        <w:rPr>
          <w:rFonts w:ascii="Tahoma" w:hAnsi="Tahoma" w:cs="Tahoma"/>
          <w:sz w:val="18"/>
          <w:szCs w:val="18"/>
        </w:rPr>
      </w:pPr>
      <w:r>
        <w:rPr>
          <w:rFonts w:ascii="Tahoma" w:hAnsi="Tahoma" w:cs="Tahoma"/>
          <w:sz w:val="18"/>
          <w:szCs w:val="18"/>
        </w:rPr>
        <w:t xml:space="preserve">APTEKA </w:t>
      </w:r>
      <w:r w:rsidR="004A0D16">
        <w:rPr>
          <w:rFonts w:ascii="Tahoma" w:hAnsi="Tahoma" w:cs="Tahoma"/>
          <w:sz w:val="18"/>
          <w:szCs w:val="18"/>
        </w:rPr>
        <w:t>PHARMA LTD</w:t>
      </w:r>
    </w:p>
    <w:p w:rsidR="00987C5B" w:rsidRPr="00F565D5" w:rsidRDefault="004A0D16" w:rsidP="00987C5B">
      <w:pPr>
        <w:jc w:val="both"/>
        <w:rPr>
          <w:rFonts w:ascii="Tahoma" w:hAnsi="Tahoma" w:cs="Tahoma"/>
          <w:sz w:val="18"/>
          <w:szCs w:val="18"/>
        </w:rPr>
      </w:pPr>
      <w:r>
        <w:rPr>
          <w:rFonts w:ascii="Tahoma" w:hAnsi="Tahoma" w:cs="Tahoma"/>
          <w:sz w:val="18"/>
          <w:szCs w:val="18"/>
        </w:rPr>
        <w:t>145, Club Road, Kano</w:t>
      </w:r>
    </w:p>
    <w:p w:rsidR="00987C5B" w:rsidRPr="00F565D5" w:rsidRDefault="00987C5B" w:rsidP="00987C5B">
      <w:pPr>
        <w:jc w:val="both"/>
        <w:rPr>
          <w:rFonts w:ascii="Tahoma" w:hAnsi="Tahoma" w:cs="Tahoma"/>
          <w:sz w:val="18"/>
          <w:szCs w:val="18"/>
        </w:rPr>
      </w:pPr>
      <w:r w:rsidRPr="00F565D5">
        <w:rPr>
          <w:rFonts w:ascii="Tahoma" w:hAnsi="Tahoma" w:cs="Tahoma"/>
          <w:sz w:val="18"/>
          <w:szCs w:val="18"/>
        </w:rPr>
        <w:t>Manufactured by</w:t>
      </w:r>
    </w:p>
    <w:p w:rsidR="00987C5B" w:rsidRDefault="004A0D16" w:rsidP="00987C5B">
      <w:pPr>
        <w:jc w:val="both"/>
        <w:rPr>
          <w:rFonts w:ascii="Tahoma" w:hAnsi="Tahoma" w:cs="Tahoma"/>
          <w:sz w:val="18"/>
          <w:szCs w:val="18"/>
        </w:rPr>
      </w:pPr>
      <w:r>
        <w:rPr>
          <w:rFonts w:ascii="Tahoma" w:hAnsi="Tahoma" w:cs="Tahoma"/>
          <w:sz w:val="18"/>
          <w:szCs w:val="18"/>
        </w:rPr>
        <w:t>AMRIYA PHARMACEUTICALS</w:t>
      </w:r>
    </w:p>
    <w:p w:rsidR="004A0D16" w:rsidRPr="00F565D5" w:rsidRDefault="004A0D16" w:rsidP="00987C5B">
      <w:pPr>
        <w:jc w:val="both"/>
        <w:rPr>
          <w:rFonts w:ascii="Tahoma" w:hAnsi="Tahoma" w:cs="Tahoma"/>
          <w:sz w:val="18"/>
          <w:szCs w:val="18"/>
        </w:rPr>
      </w:pPr>
      <w:r>
        <w:rPr>
          <w:rFonts w:ascii="Tahoma" w:hAnsi="Tahoma" w:cs="Tahoma"/>
          <w:sz w:val="18"/>
          <w:szCs w:val="18"/>
        </w:rPr>
        <w:t xml:space="preserve">Kilo 25 Alexandria Cairo desert </w:t>
      </w:r>
      <w:proofErr w:type="spellStart"/>
      <w:r>
        <w:rPr>
          <w:rFonts w:ascii="Tahoma" w:hAnsi="Tahoma" w:cs="Tahoma"/>
          <w:sz w:val="18"/>
          <w:szCs w:val="18"/>
        </w:rPr>
        <w:t>road</w:t>
      </w:r>
      <w:proofErr w:type="gramStart"/>
      <w:r>
        <w:rPr>
          <w:rFonts w:ascii="Tahoma" w:hAnsi="Tahoma" w:cs="Tahoma"/>
          <w:sz w:val="18"/>
          <w:szCs w:val="18"/>
        </w:rPr>
        <w:t>,Egypt</w:t>
      </w:r>
      <w:proofErr w:type="spellEnd"/>
      <w:proofErr w:type="gramEnd"/>
      <w:r>
        <w:rPr>
          <w:rFonts w:ascii="Tahoma" w:hAnsi="Tahoma" w:cs="Tahoma"/>
          <w:sz w:val="18"/>
          <w:szCs w:val="18"/>
        </w:rPr>
        <w:t>.</w:t>
      </w:r>
    </w:p>
    <w:p w:rsidR="00987C5B" w:rsidRPr="00F565D5" w:rsidRDefault="00987C5B" w:rsidP="00987C5B">
      <w:pPr>
        <w:jc w:val="both"/>
        <w:rPr>
          <w:rFonts w:ascii="Tahoma" w:hAnsi="Tahoma" w:cs="Tahoma"/>
          <w:sz w:val="18"/>
          <w:szCs w:val="18"/>
        </w:rPr>
      </w:pPr>
    </w:p>
    <w:p w:rsidR="00987C5B" w:rsidRPr="00F565D5" w:rsidRDefault="00987C5B" w:rsidP="00987C5B">
      <w:pPr>
        <w:jc w:val="both"/>
        <w:rPr>
          <w:rFonts w:ascii="Tahoma" w:hAnsi="Tahoma" w:cs="Tahoma"/>
          <w:sz w:val="18"/>
          <w:szCs w:val="18"/>
        </w:rPr>
      </w:pPr>
    </w:p>
    <w:p w:rsidR="00987C5B" w:rsidRPr="00F565D5" w:rsidRDefault="00987C5B" w:rsidP="00987C5B">
      <w:pPr>
        <w:jc w:val="both"/>
        <w:rPr>
          <w:rFonts w:ascii="Tahoma" w:hAnsi="Tahoma" w:cs="Tahoma"/>
          <w:sz w:val="18"/>
          <w:szCs w:val="18"/>
        </w:rPr>
      </w:pPr>
    </w:p>
    <w:p w:rsidR="00987C5B" w:rsidRPr="00F565D5" w:rsidRDefault="00987C5B" w:rsidP="00987C5B">
      <w:pPr>
        <w:jc w:val="both"/>
        <w:rPr>
          <w:rFonts w:ascii="Tahoma" w:hAnsi="Tahoma" w:cs="Tahoma"/>
          <w:sz w:val="18"/>
          <w:szCs w:val="18"/>
        </w:rPr>
      </w:pPr>
    </w:p>
    <w:p w:rsidR="003C696F" w:rsidRDefault="003C696F"/>
    <w:p w:rsidR="003C696F" w:rsidRDefault="003C696F"/>
    <w:p w:rsidR="003C696F" w:rsidRDefault="003C696F"/>
    <w:p w:rsidR="003C696F" w:rsidRDefault="003C696F"/>
    <w:p w:rsidR="003C696F" w:rsidRDefault="003C696F"/>
    <w:p w:rsidR="003C696F" w:rsidRDefault="003C696F"/>
    <w:sectPr w:rsidR="003C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3"/>
    <w:rsid w:val="001006D1"/>
    <w:rsid w:val="002D4F43"/>
    <w:rsid w:val="003C696F"/>
    <w:rsid w:val="004A0D16"/>
    <w:rsid w:val="004A1C88"/>
    <w:rsid w:val="00666DE3"/>
    <w:rsid w:val="007E2522"/>
    <w:rsid w:val="00987C5B"/>
    <w:rsid w:val="00E4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5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97426">
      <w:bodyDiv w:val="1"/>
      <w:marLeft w:val="0"/>
      <w:marRight w:val="0"/>
      <w:marTop w:val="0"/>
      <w:marBottom w:val="0"/>
      <w:divBdr>
        <w:top w:val="none" w:sz="0" w:space="0" w:color="auto"/>
        <w:left w:val="none" w:sz="0" w:space="0" w:color="auto"/>
        <w:bottom w:val="none" w:sz="0" w:space="0" w:color="auto"/>
        <w:right w:val="none" w:sz="0" w:space="0" w:color="auto"/>
      </w:divBdr>
      <w:divsChild>
        <w:div w:id="419646103">
          <w:marLeft w:val="0"/>
          <w:marRight w:val="0"/>
          <w:marTop w:val="0"/>
          <w:marBottom w:val="0"/>
          <w:divBdr>
            <w:top w:val="none" w:sz="0" w:space="0" w:color="auto"/>
            <w:left w:val="none" w:sz="0" w:space="0" w:color="auto"/>
            <w:bottom w:val="none" w:sz="0" w:space="0" w:color="auto"/>
            <w:right w:val="none" w:sz="0" w:space="0" w:color="auto"/>
          </w:divBdr>
        </w:div>
        <w:div w:id="612244935">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
          </w:divsChild>
        </w:div>
        <w:div w:id="2110273114">
          <w:marLeft w:val="0"/>
          <w:marRight w:val="0"/>
          <w:marTop w:val="0"/>
          <w:marBottom w:val="0"/>
          <w:divBdr>
            <w:top w:val="none" w:sz="0" w:space="0" w:color="auto"/>
            <w:left w:val="none" w:sz="0" w:space="0" w:color="auto"/>
            <w:bottom w:val="none" w:sz="0" w:space="0" w:color="auto"/>
            <w:right w:val="none" w:sz="0" w:space="0" w:color="auto"/>
          </w:divBdr>
        </w:div>
        <w:div w:id="563444439">
          <w:marLeft w:val="0"/>
          <w:marRight w:val="0"/>
          <w:marTop w:val="0"/>
          <w:marBottom w:val="0"/>
          <w:divBdr>
            <w:top w:val="none" w:sz="0" w:space="0" w:color="auto"/>
            <w:left w:val="none" w:sz="0" w:space="0" w:color="auto"/>
            <w:bottom w:val="none" w:sz="0" w:space="0" w:color="auto"/>
            <w:right w:val="none" w:sz="0" w:space="0" w:color="auto"/>
          </w:divBdr>
        </w:div>
        <w:div w:id="649794969">
          <w:marLeft w:val="0"/>
          <w:marRight w:val="0"/>
          <w:marTop w:val="150"/>
          <w:marBottom w:val="150"/>
          <w:divBdr>
            <w:top w:val="single" w:sz="6" w:space="8" w:color="000000"/>
            <w:left w:val="none" w:sz="0" w:space="0" w:color="auto"/>
            <w:bottom w:val="none" w:sz="0" w:space="0" w:color="auto"/>
            <w:right w:val="none" w:sz="0" w:space="0" w:color="auto"/>
          </w:divBdr>
        </w:div>
        <w:div w:id="408771781">
          <w:marLeft w:val="0"/>
          <w:marRight w:val="0"/>
          <w:marTop w:val="0"/>
          <w:marBottom w:val="0"/>
          <w:divBdr>
            <w:top w:val="none" w:sz="0" w:space="0" w:color="auto"/>
            <w:left w:val="none" w:sz="0" w:space="0" w:color="auto"/>
            <w:bottom w:val="none" w:sz="0" w:space="0" w:color="auto"/>
            <w:right w:val="none" w:sz="0" w:space="0" w:color="auto"/>
          </w:divBdr>
        </w:div>
        <w:div w:id="498927704">
          <w:marLeft w:val="0"/>
          <w:marRight w:val="0"/>
          <w:marTop w:val="0"/>
          <w:marBottom w:val="0"/>
          <w:divBdr>
            <w:top w:val="none" w:sz="0" w:space="0" w:color="auto"/>
            <w:left w:val="none" w:sz="0" w:space="0" w:color="auto"/>
            <w:bottom w:val="none" w:sz="0" w:space="0" w:color="auto"/>
            <w:right w:val="none" w:sz="0" w:space="0" w:color="auto"/>
          </w:divBdr>
        </w:div>
        <w:div w:id="796144119">
          <w:marLeft w:val="0"/>
          <w:marRight w:val="0"/>
          <w:marTop w:val="0"/>
          <w:marBottom w:val="0"/>
          <w:divBdr>
            <w:top w:val="none" w:sz="0" w:space="0" w:color="auto"/>
            <w:left w:val="none" w:sz="0" w:space="0" w:color="auto"/>
            <w:bottom w:val="none" w:sz="0" w:space="0" w:color="auto"/>
            <w:right w:val="none" w:sz="0" w:space="0" w:color="auto"/>
          </w:divBdr>
        </w:div>
        <w:div w:id="1680885455">
          <w:marLeft w:val="0"/>
          <w:marRight w:val="0"/>
          <w:marTop w:val="0"/>
          <w:marBottom w:val="0"/>
          <w:divBdr>
            <w:top w:val="none" w:sz="0" w:space="0" w:color="auto"/>
            <w:left w:val="none" w:sz="0" w:space="0" w:color="auto"/>
            <w:bottom w:val="none" w:sz="0" w:space="0" w:color="auto"/>
            <w:right w:val="none" w:sz="0" w:space="0" w:color="auto"/>
          </w:divBdr>
        </w:div>
        <w:div w:id="141701085">
          <w:marLeft w:val="0"/>
          <w:marRight w:val="0"/>
          <w:marTop w:val="0"/>
          <w:marBottom w:val="0"/>
          <w:divBdr>
            <w:top w:val="none" w:sz="0" w:space="0" w:color="auto"/>
            <w:left w:val="none" w:sz="0" w:space="0" w:color="auto"/>
            <w:bottom w:val="none" w:sz="0" w:space="0" w:color="auto"/>
            <w:right w:val="none" w:sz="0" w:space="0" w:color="auto"/>
          </w:divBdr>
        </w:div>
        <w:div w:id="1128933357">
          <w:marLeft w:val="0"/>
          <w:marRight w:val="0"/>
          <w:marTop w:val="0"/>
          <w:marBottom w:val="0"/>
          <w:divBdr>
            <w:top w:val="none" w:sz="0" w:space="0" w:color="auto"/>
            <w:left w:val="none" w:sz="0" w:space="0" w:color="auto"/>
            <w:bottom w:val="none" w:sz="0" w:space="0" w:color="auto"/>
            <w:right w:val="none" w:sz="0" w:space="0" w:color="auto"/>
          </w:divBdr>
        </w:div>
        <w:div w:id="1082220508">
          <w:marLeft w:val="0"/>
          <w:marRight w:val="0"/>
          <w:marTop w:val="150"/>
          <w:marBottom w:val="150"/>
          <w:divBdr>
            <w:top w:val="single" w:sz="6" w:space="8" w:color="000000"/>
            <w:left w:val="none" w:sz="0" w:space="0" w:color="auto"/>
            <w:bottom w:val="none" w:sz="0" w:space="0" w:color="auto"/>
            <w:right w:val="none" w:sz="0" w:space="0" w:color="auto"/>
          </w:divBdr>
        </w:div>
        <w:div w:id="248396003">
          <w:marLeft w:val="0"/>
          <w:marRight w:val="0"/>
          <w:marTop w:val="0"/>
          <w:marBottom w:val="0"/>
          <w:divBdr>
            <w:top w:val="none" w:sz="0" w:space="0" w:color="auto"/>
            <w:left w:val="none" w:sz="0" w:space="0" w:color="auto"/>
            <w:bottom w:val="none" w:sz="0" w:space="0" w:color="auto"/>
            <w:right w:val="none" w:sz="0" w:space="0" w:color="auto"/>
          </w:divBdr>
        </w:div>
        <w:div w:id="1966887918">
          <w:marLeft w:val="0"/>
          <w:marRight w:val="0"/>
          <w:marTop w:val="0"/>
          <w:marBottom w:val="0"/>
          <w:divBdr>
            <w:top w:val="none" w:sz="0" w:space="0" w:color="auto"/>
            <w:left w:val="none" w:sz="0" w:space="0" w:color="auto"/>
            <w:bottom w:val="none" w:sz="0" w:space="0" w:color="auto"/>
            <w:right w:val="none" w:sz="0" w:space="0" w:color="auto"/>
          </w:divBdr>
          <w:divsChild>
            <w:div w:id="17812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2020-10-10T10:01:00Z</dcterms:created>
  <dcterms:modified xsi:type="dcterms:W3CDTF">2020-10-11T08:34:00Z</dcterms:modified>
</cp:coreProperties>
</file>