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D16" w:rsidRPr="00180EC2" w:rsidRDefault="00812D16" w:rsidP="00A25442">
      <w:pPr>
        <w:outlineLvl w:val="0"/>
        <w:rPr>
          <w:color w:val="008000"/>
        </w:rPr>
      </w:pPr>
      <w:bookmarkStart w:id="0" w:name="_GoBack"/>
      <w:bookmarkEnd w:id="0"/>
    </w:p>
    <w:p w:rsidR="00C02D5C" w:rsidRPr="00180EC2" w:rsidRDefault="00C02D5C" w:rsidP="00A25442">
      <w:pPr>
        <w:outlineLvl w:val="0"/>
        <w:rPr>
          <w:b/>
          <w:noProof/>
        </w:rPr>
      </w:pPr>
    </w:p>
    <w:p w:rsidR="00812D16" w:rsidRPr="00180EC2" w:rsidRDefault="00812D16" w:rsidP="00A25442">
      <w:pPr>
        <w:outlineLvl w:val="0"/>
        <w:rPr>
          <w:b/>
          <w:noProof/>
        </w:rPr>
      </w:pPr>
    </w:p>
    <w:p w:rsidR="00812D16" w:rsidRPr="00180EC2" w:rsidRDefault="00812D16" w:rsidP="00A25442">
      <w:pPr>
        <w:outlineLvl w:val="0"/>
        <w:rPr>
          <w:b/>
          <w:noProof/>
        </w:rPr>
      </w:pPr>
    </w:p>
    <w:p w:rsidR="00812D16" w:rsidRPr="00180EC2" w:rsidRDefault="00812D16" w:rsidP="00A25442">
      <w:pPr>
        <w:outlineLvl w:val="0"/>
        <w:rPr>
          <w:b/>
          <w:noProof/>
        </w:rPr>
      </w:pPr>
    </w:p>
    <w:p w:rsidR="00812D16" w:rsidRPr="00180EC2" w:rsidRDefault="00812D16" w:rsidP="00BC6DC2">
      <w:pPr>
        <w:outlineLvl w:val="0"/>
        <w:rPr>
          <w:b/>
          <w:noProof/>
          <w:szCs w:val="22"/>
        </w:rPr>
      </w:pPr>
    </w:p>
    <w:p w:rsidR="00812D16" w:rsidRPr="00180EC2" w:rsidRDefault="00812D16" w:rsidP="00635AC7">
      <w:pPr>
        <w:outlineLvl w:val="0"/>
        <w:rPr>
          <w:b/>
          <w:noProof/>
          <w:szCs w:val="22"/>
        </w:rPr>
      </w:pPr>
    </w:p>
    <w:p w:rsidR="00812D16" w:rsidRPr="00180EC2" w:rsidRDefault="00812D16" w:rsidP="00A25442">
      <w:pPr>
        <w:outlineLvl w:val="0"/>
        <w:rPr>
          <w:b/>
          <w:noProof/>
          <w:szCs w:val="22"/>
        </w:rPr>
      </w:pPr>
    </w:p>
    <w:p w:rsidR="00812D16" w:rsidRPr="00180EC2" w:rsidRDefault="00812D16" w:rsidP="00BB5EF0">
      <w:pPr>
        <w:outlineLvl w:val="0"/>
        <w:rPr>
          <w:b/>
          <w:noProof/>
          <w:szCs w:val="22"/>
        </w:rPr>
      </w:pPr>
    </w:p>
    <w:p w:rsidR="00812D16" w:rsidRPr="00180EC2" w:rsidRDefault="00812D16" w:rsidP="006F11BD">
      <w:pPr>
        <w:outlineLvl w:val="0"/>
        <w:rPr>
          <w:b/>
          <w:noProof/>
          <w:szCs w:val="22"/>
        </w:rPr>
      </w:pPr>
    </w:p>
    <w:p w:rsidR="00812D16" w:rsidRPr="00180EC2" w:rsidRDefault="00812D16" w:rsidP="004C0938">
      <w:pPr>
        <w:outlineLvl w:val="0"/>
        <w:rPr>
          <w:b/>
          <w:noProof/>
          <w:szCs w:val="22"/>
        </w:rPr>
      </w:pPr>
    </w:p>
    <w:p w:rsidR="00812D16" w:rsidRPr="00180EC2" w:rsidRDefault="00812D16" w:rsidP="007B42D3">
      <w:pPr>
        <w:outlineLvl w:val="0"/>
        <w:rPr>
          <w:b/>
          <w:noProof/>
          <w:szCs w:val="22"/>
        </w:rPr>
      </w:pPr>
    </w:p>
    <w:p w:rsidR="00812D16" w:rsidRPr="00180EC2" w:rsidRDefault="00812D16" w:rsidP="00067B16">
      <w:pPr>
        <w:outlineLvl w:val="0"/>
        <w:rPr>
          <w:b/>
          <w:noProof/>
          <w:szCs w:val="22"/>
        </w:rPr>
      </w:pPr>
    </w:p>
    <w:p w:rsidR="00812D16" w:rsidRPr="00180EC2" w:rsidRDefault="00812D16" w:rsidP="00067B16">
      <w:pPr>
        <w:outlineLvl w:val="0"/>
        <w:rPr>
          <w:b/>
          <w:noProof/>
          <w:szCs w:val="22"/>
        </w:rPr>
      </w:pPr>
    </w:p>
    <w:p w:rsidR="00812D16" w:rsidRPr="00180EC2" w:rsidRDefault="00812D16" w:rsidP="00B3208E">
      <w:pPr>
        <w:outlineLvl w:val="0"/>
        <w:rPr>
          <w:b/>
          <w:noProof/>
          <w:szCs w:val="22"/>
        </w:rPr>
      </w:pPr>
    </w:p>
    <w:p w:rsidR="00812D16" w:rsidRPr="00180EC2" w:rsidRDefault="00812D16" w:rsidP="00A26F79">
      <w:pPr>
        <w:outlineLvl w:val="0"/>
        <w:rPr>
          <w:b/>
          <w:noProof/>
          <w:szCs w:val="22"/>
        </w:rPr>
      </w:pPr>
    </w:p>
    <w:p w:rsidR="00812D16" w:rsidRPr="00180EC2" w:rsidRDefault="00812D16" w:rsidP="008225EB">
      <w:pPr>
        <w:outlineLvl w:val="0"/>
        <w:rPr>
          <w:b/>
          <w:noProof/>
          <w:szCs w:val="22"/>
        </w:rPr>
      </w:pPr>
    </w:p>
    <w:p w:rsidR="00812D16" w:rsidRPr="00180EC2" w:rsidRDefault="00812D16" w:rsidP="008225EB">
      <w:pPr>
        <w:outlineLvl w:val="0"/>
        <w:rPr>
          <w:b/>
          <w:noProof/>
          <w:szCs w:val="22"/>
        </w:rPr>
      </w:pPr>
    </w:p>
    <w:p w:rsidR="00812D16" w:rsidRPr="00180EC2" w:rsidRDefault="00812D16" w:rsidP="00A3136F">
      <w:pPr>
        <w:outlineLvl w:val="0"/>
        <w:rPr>
          <w:b/>
        </w:rPr>
      </w:pPr>
    </w:p>
    <w:p w:rsidR="00812D16" w:rsidRPr="00180EC2" w:rsidRDefault="00812D16" w:rsidP="000643D3">
      <w:pPr>
        <w:outlineLvl w:val="0"/>
        <w:rPr>
          <w:b/>
        </w:rPr>
      </w:pPr>
    </w:p>
    <w:p w:rsidR="00812D16" w:rsidRPr="00180EC2" w:rsidRDefault="00812D16" w:rsidP="00412450">
      <w:pPr>
        <w:outlineLvl w:val="0"/>
        <w:rPr>
          <w:b/>
        </w:rPr>
      </w:pPr>
    </w:p>
    <w:p w:rsidR="00812D16" w:rsidRPr="00180EC2" w:rsidRDefault="00812D16" w:rsidP="00412450">
      <w:pPr>
        <w:outlineLvl w:val="0"/>
        <w:rPr>
          <w:b/>
        </w:rPr>
      </w:pPr>
    </w:p>
    <w:p w:rsidR="00812D16" w:rsidRPr="00180EC2" w:rsidRDefault="00812D16" w:rsidP="00EB595B">
      <w:pPr>
        <w:outlineLvl w:val="0"/>
        <w:rPr>
          <w:b/>
        </w:rPr>
      </w:pPr>
    </w:p>
    <w:p w:rsidR="00812D16" w:rsidRPr="00180EC2" w:rsidRDefault="00812D16" w:rsidP="008A1008">
      <w:pPr>
        <w:jc w:val="center"/>
        <w:outlineLvl w:val="0"/>
      </w:pPr>
      <w:r w:rsidRPr="00180EC2">
        <w:rPr>
          <w:b/>
        </w:rPr>
        <w:t>ANNEX I</w:t>
      </w:r>
    </w:p>
    <w:p w:rsidR="00812D16" w:rsidRPr="00180EC2" w:rsidRDefault="00812D16" w:rsidP="00BC6DC2">
      <w:pPr>
        <w:jc w:val="center"/>
        <w:outlineLvl w:val="0"/>
      </w:pPr>
    </w:p>
    <w:p w:rsidR="00812D16" w:rsidRPr="00180EC2" w:rsidRDefault="00812D16" w:rsidP="00BC6DC2">
      <w:pPr>
        <w:jc w:val="center"/>
        <w:outlineLvl w:val="0"/>
      </w:pPr>
      <w:r w:rsidRPr="00180EC2">
        <w:rPr>
          <w:b/>
        </w:rPr>
        <w:t>SUMMARY OF PRODUCT CHARACTERISTICS</w:t>
      </w:r>
    </w:p>
    <w:p w:rsidR="00033D26" w:rsidRPr="00180EC2" w:rsidRDefault="00812D16" w:rsidP="00F05E2A">
      <w:pPr>
        <w:jc w:val="both"/>
        <w:rPr>
          <w:szCs w:val="22"/>
        </w:rPr>
      </w:pPr>
      <w:r w:rsidRPr="00180EC2">
        <w:rPr>
          <w:color w:val="008000"/>
        </w:rPr>
        <w:br w:type="page"/>
      </w:r>
    </w:p>
    <w:p w:rsidR="00812D16" w:rsidRPr="00180EC2" w:rsidRDefault="00812D16" w:rsidP="00F05E2A">
      <w:pPr>
        <w:suppressAutoHyphens/>
        <w:ind w:left="567" w:hanging="567"/>
        <w:jc w:val="both"/>
        <w:rPr>
          <w:noProof/>
          <w:color w:val="008000"/>
          <w:szCs w:val="22"/>
        </w:rPr>
      </w:pPr>
      <w:r w:rsidRPr="00180EC2">
        <w:rPr>
          <w:b/>
          <w:noProof/>
          <w:szCs w:val="22"/>
        </w:rPr>
        <w:lastRenderedPageBreak/>
        <w:t>1.</w:t>
      </w:r>
      <w:r w:rsidRPr="00180EC2">
        <w:rPr>
          <w:b/>
          <w:noProof/>
          <w:szCs w:val="22"/>
        </w:rPr>
        <w:tab/>
        <w:t xml:space="preserve">NAME OF </w:t>
      </w:r>
      <w:r w:rsidRPr="00180EC2">
        <w:rPr>
          <w:b/>
          <w:szCs w:val="22"/>
        </w:rPr>
        <w:t>THE</w:t>
      </w:r>
      <w:r w:rsidRPr="00180EC2">
        <w:rPr>
          <w:b/>
          <w:noProof/>
          <w:szCs w:val="22"/>
        </w:rPr>
        <w:t xml:space="preserve"> MEDICINAL PRODUCT</w:t>
      </w:r>
    </w:p>
    <w:p w:rsidR="00812D16" w:rsidRPr="00180EC2" w:rsidRDefault="00812D16" w:rsidP="00F05E2A">
      <w:pPr>
        <w:jc w:val="both"/>
        <w:rPr>
          <w:iCs/>
          <w:noProof/>
          <w:szCs w:val="22"/>
        </w:rPr>
      </w:pPr>
    </w:p>
    <w:p w:rsidR="00812D16" w:rsidRPr="00180EC2" w:rsidRDefault="00C02D5C" w:rsidP="00F05E2A">
      <w:pPr>
        <w:widowControl w:val="0"/>
        <w:jc w:val="both"/>
        <w:rPr>
          <w:noProof/>
          <w:szCs w:val="22"/>
        </w:rPr>
      </w:pPr>
      <w:r w:rsidRPr="00180EC2">
        <w:rPr>
          <w:noProof/>
          <w:szCs w:val="22"/>
        </w:rPr>
        <w:t xml:space="preserve">EXXIB® 200 mg tablets </w:t>
      </w:r>
    </w:p>
    <w:p w:rsidR="00812D16" w:rsidRPr="00180EC2" w:rsidRDefault="00812D16" w:rsidP="00F05E2A">
      <w:pPr>
        <w:jc w:val="both"/>
        <w:rPr>
          <w:iCs/>
          <w:noProof/>
          <w:szCs w:val="22"/>
        </w:rPr>
      </w:pPr>
    </w:p>
    <w:p w:rsidR="00812D16" w:rsidRPr="00180EC2" w:rsidRDefault="00812D16" w:rsidP="00F05E2A">
      <w:pPr>
        <w:jc w:val="both"/>
        <w:rPr>
          <w:iCs/>
          <w:noProof/>
          <w:szCs w:val="22"/>
        </w:rPr>
      </w:pPr>
    </w:p>
    <w:p w:rsidR="00812D16" w:rsidRPr="00180EC2" w:rsidRDefault="00812D16" w:rsidP="00F05E2A">
      <w:pPr>
        <w:suppressAutoHyphens/>
        <w:ind w:left="567" w:hanging="567"/>
        <w:jc w:val="both"/>
        <w:rPr>
          <w:noProof/>
          <w:szCs w:val="22"/>
        </w:rPr>
      </w:pPr>
      <w:r w:rsidRPr="00180EC2">
        <w:rPr>
          <w:b/>
          <w:noProof/>
          <w:szCs w:val="22"/>
        </w:rPr>
        <w:t>2.</w:t>
      </w:r>
      <w:r w:rsidRPr="00180EC2">
        <w:rPr>
          <w:b/>
          <w:noProof/>
          <w:szCs w:val="22"/>
        </w:rPr>
        <w:tab/>
        <w:t>QUALITATIVE AND QUANTITATIVE COMPOSITION</w:t>
      </w:r>
    </w:p>
    <w:p w:rsidR="00812D16" w:rsidRPr="00180EC2" w:rsidRDefault="00812D16" w:rsidP="00F05E2A">
      <w:pPr>
        <w:jc w:val="both"/>
        <w:rPr>
          <w:iCs/>
          <w:noProof/>
          <w:szCs w:val="22"/>
        </w:rPr>
      </w:pPr>
    </w:p>
    <w:p w:rsidR="00812D16" w:rsidRPr="00180EC2" w:rsidRDefault="00C02D5C" w:rsidP="00F05E2A">
      <w:pPr>
        <w:widowControl w:val="0"/>
        <w:jc w:val="both"/>
      </w:pPr>
      <w:r w:rsidRPr="00180EC2">
        <w:rPr>
          <w:bCs/>
          <w:noProof/>
          <w:szCs w:val="22"/>
        </w:rPr>
        <w:t>Each tablet contains 200 mg of Celecoxib</w:t>
      </w:r>
    </w:p>
    <w:p w:rsidR="00812D16" w:rsidRPr="00180EC2" w:rsidRDefault="00812D16" w:rsidP="00F05E2A">
      <w:pPr>
        <w:jc w:val="both"/>
      </w:pPr>
    </w:p>
    <w:p w:rsidR="00812D16" w:rsidRPr="00180EC2" w:rsidRDefault="00C02D5C" w:rsidP="00F05E2A">
      <w:pPr>
        <w:jc w:val="both"/>
        <w:outlineLvl w:val="0"/>
        <w:rPr>
          <w:noProof/>
          <w:szCs w:val="22"/>
        </w:rPr>
      </w:pPr>
      <w:r w:rsidRPr="00180EC2">
        <w:rPr>
          <w:noProof/>
          <w:szCs w:val="22"/>
        </w:rPr>
        <w:t xml:space="preserve">For the exhaustive list of the excipients, </w:t>
      </w:r>
      <w:r w:rsidR="009F7078" w:rsidRPr="00180EC2">
        <w:rPr>
          <w:noProof/>
          <w:szCs w:val="22"/>
        </w:rPr>
        <w:t>see</w:t>
      </w:r>
      <w:r w:rsidRPr="00180EC2">
        <w:rPr>
          <w:noProof/>
          <w:szCs w:val="22"/>
        </w:rPr>
        <w:t xml:space="preserve"> 6.1.</w:t>
      </w:r>
    </w:p>
    <w:p w:rsidR="00812D16" w:rsidRPr="00180EC2" w:rsidRDefault="00812D16" w:rsidP="00F05E2A">
      <w:pPr>
        <w:jc w:val="both"/>
        <w:rPr>
          <w:noProof/>
          <w:szCs w:val="22"/>
        </w:rPr>
      </w:pPr>
    </w:p>
    <w:p w:rsidR="00812D16" w:rsidRPr="00180EC2" w:rsidRDefault="00812D16" w:rsidP="00F05E2A">
      <w:pPr>
        <w:suppressAutoHyphens/>
        <w:ind w:left="567" w:hanging="567"/>
        <w:jc w:val="both"/>
        <w:rPr>
          <w:caps/>
          <w:noProof/>
          <w:szCs w:val="22"/>
        </w:rPr>
      </w:pPr>
      <w:r w:rsidRPr="00180EC2">
        <w:rPr>
          <w:b/>
          <w:noProof/>
          <w:szCs w:val="22"/>
        </w:rPr>
        <w:t>3.</w:t>
      </w:r>
      <w:r w:rsidRPr="00180EC2">
        <w:rPr>
          <w:b/>
          <w:noProof/>
          <w:szCs w:val="22"/>
        </w:rPr>
        <w:tab/>
        <w:t xml:space="preserve">PHARMACEUTICAL </w:t>
      </w:r>
      <w:r w:rsidR="00855481" w:rsidRPr="00180EC2">
        <w:rPr>
          <w:rFonts w:ascii="Times New Roman Bold" w:hAnsi="Times New Roman Bold"/>
          <w:b/>
          <w:noProof/>
          <w:szCs w:val="22"/>
        </w:rPr>
        <w:t>FORM</w:t>
      </w:r>
    </w:p>
    <w:p w:rsidR="00812D16" w:rsidRPr="00180EC2" w:rsidRDefault="00812D16" w:rsidP="00F05E2A">
      <w:pPr>
        <w:jc w:val="both"/>
        <w:rPr>
          <w:noProof/>
          <w:szCs w:val="22"/>
        </w:rPr>
      </w:pPr>
    </w:p>
    <w:p w:rsidR="00812D16" w:rsidRPr="00180EC2" w:rsidRDefault="00C02D5C" w:rsidP="00F05E2A">
      <w:pPr>
        <w:jc w:val="both"/>
        <w:rPr>
          <w:noProof/>
          <w:szCs w:val="22"/>
        </w:rPr>
      </w:pPr>
      <w:r w:rsidRPr="00180EC2">
        <w:rPr>
          <w:noProof/>
          <w:szCs w:val="22"/>
        </w:rPr>
        <w:t>Tablets</w:t>
      </w:r>
    </w:p>
    <w:p w:rsidR="00812D16" w:rsidRPr="00180EC2" w:rsidRDefault="00C02D5C" w:rsidP="00F05E2A">
      <w:pPr>
        <w:jc w:val="both"/>
        <w:rPr>
          <w:noProof/>
          <w:szCs w:val="22"/>
        </w:rPr>
      </w:pPr>
      <w:r w:rsidRPr="00180EC2">
        <w:rPr>
          <w:noProof/>
          <w:szCs w:val="22"/>
        </w:rPr>
        <w:t>EXXIB</w:t>
      </w:r>
      <w:r w:rsidRPr="00180EC2">
        <w:t>® 200 mg white, round, scored tablets marked with XX</w:t>
      </w:r>
    </w:p>
    <w:p w:rsidR="00812D16" w:rsidRPr="00180EC2" w:rsidRDefault="00812D16" w:rsidP="00F05E2A">
      <w:pPr>
        <w:jc w:val="both"/>
        <w:rPr>
          <w:noProof/>
          <w:szCs w:val="22"/>
        </w:rPr>
      </w:pPr>
    </w:p>
    <w:p w:rsidR="00812D16" w:rsidRPr="00180EC2" w:rsidRDefault="00812D16" w:rsidP="00F05E2A">
      <w:pPr>
        <w:suppressAutoHyphens/>
        <w:ind w:left="567" w:hanging="567"/>
        <w:jc w:val="both"/>
        <w:rPr>
          <w:caps/>
          <w:noProof/>
          <w:szCs w:val="22"/>
        </w:rPr>
      </w:pPr>
      <w:r w:rsidRPr="00180EC2">
        <w:rPr>
          <w:b/>
          <w:caps/>
          <w:noProof/>
          <w:szCs w:val="22"/>
        </w:rPr>
        <w:t>4.</w:t>
      </w:r>
      <w:r w:rsidRPr="00180EC2">
        <w:rPr>
          <w:b/>
          <w:caps/>
          <w:noProof/>
          <w:szCs w:val="22"/>
        </w:rPr>
        <w:tab/>
      </w:r>
      <w:r w:rsidRPr="00180EC2">
        <w:rPr>
          <w:b/>
          <w:noProof/>
          <w:szCs w:val="22"/>
        </w:rPr>
        <w:t>C</w:t>
      </w:r>
      <w:r w:rsidR="00855481" w:rsidRPr="00180EC2">
        <w:rPr>
          <w:b/>
          <w:noProof/>
          <w:szCs w:val="22"/>
        </w:rPr>
        <w:t>LINICAL</w:t>
      </w:r>
      <w:r w:rsidR="00855481" w:rsidRPr="00180EC2">
        <w:rPr>
          <w:rFonts w:ascii="Times New Roman Bold" w:hAnsi="Times New Roman Bold"/>
          <w:b/>
          <w:noProof/>
          <w:szCs w:val="22"/>
        </w:rPr>
        <w:t xml:space="preserve"> PARTICULARS</w:t>
      </w:r>
    </w:p>
    <w:p w:rsidR="00812D16" w:rsidRPr="00180EC2" w:rsidRDefault="00812D16" w:rsidP="00F05E2A">
      <w:pPr>
        <w:jc w:val="both"/>
        <w:rPr>
          <w:noProof/>
          <w:szCs w:val="22"/>
        </w:rPr>
      </w:pPr>
    </w:p>
    <w:p w:rsidR="00812D16" w:rsidRPr="00180EC2" w:rsidRDefault="00812D16" w:rsidP="00F05E2A">
      <w:pPr>
        <w:ind w:left="567" w:hanging="567"/>
        <w:jc w:val="both"/>
        <w:outlineLvl w:val="0"/>
        <w:rPr>
          <w:noProof/>
          <w:szCs w:val="22"/>
        </w:rPr>
      </w:pPr>
      <w:r w:rsidRPr="00180EC2">
        <w:rPr>
          <w:b/>
          <w:noProof/>
          <w:szCs w:val="22"/>
        </w:rPr>
        <w:t>4.1</w:t>
      </w:r>
      <w:r w:rsidRPr="00180EC2">
        <w:rPr>
          <w:b/>
          <w:noProof/>
          <w:szCs w:val="22"/>
        </w:rPr>
        <w:tab/>
        <w:t>Therapeutic indications</w:t>
      </w:r>
    </w:p>
    <w:p w:rsidR="00812D16" w:rsidRPr="00140779" w:rsidRDefault="00812D16" w:rsidP="00F05E2A">
      <w:pPr>
        <w:jc w:val="both"/>
        <w:rPr>
          <w:noProof/>
          <w:szCs w:val="22"/>
        </w:rPr>
      </w:pPr>
    </w:p>
    <w:p w:rsidR="004B7E2F" w:rsidRPr="00140779" w:rsidRDefault="004B7E2F" w:rsidP="00F05E2A">
      <w:pPr>
        <w:pStyle w:val="Default"/>
        <w:jc w:val="both"/>
        <w:rPr>
          <w:szCs w:val="22"/>
          <w:lang w:val="en-GB"/>
        </w:rPr>
      </w:pPr>
      <w:r w:rsidRPr="00180EC2">
        <w:rPr>
          <w:szCs w:val="22"/>
          <w:lang w:val="en-GB"/>
        </w:rPr>
        <w:t>Symptomatic</w:t>
      </w:r>
      <w:r w:rsidRPr="00140779">
        <w:rPr>
          <w:szCs w:val="22"/>
          <w:lang w:val="en-GB"/>
        </w:rPr>
        <w:t xml:space="preserve"> relief in the treatment of osteoarthritis</w:t>
      </w:r>
      <w:r w:rsidR="00445D0F" w:rsidRPr="00140779">
        <w:rPr>
          <w:szCs w:val="22"/>
          <w:lang w:val="en-GB"/>
        </w:rPr>
        <w:t xml:space="preserve">, </w:t>
      </w:r>
      <w:r w:rsidRPr="00140779">
        <w:rPr>
          <w:szCs w:val="22"/>
          <w:lang w:val="en-GB"/>
        </w:rPr>
        <w:t>rheumatoid arthritis</w:t>
      </w:r>
      <w:r w:rsidR="00445D0F" w:rsidRPr="00140779">
        <w:rPr>
          <w:szCs w:val="22"/>
          <w:lang w:val="en-GB"/>
        </w:rPr>
        <w:t xml:space="preserve"> and ankylosing spondylitis</w:t>
      </w:r>
      <w:r w:rsidRPr="00140779">
        <w:rPr>
          <w:szCs w:val="22"/>
          <w:lang w:val="en-GB"/>
        </w:rPr>
        <w:t>.</w:t>
      </w:r>
    </w:p>
    <w:p w:rsidR="004B7E2F" w:rsidRPr="00140779" w:rsidRDefault="004B7E2F" w:rsidP="00F05E2A">
      <w:pPr>
        <w:pStyle w:val="Default"/>
        <w:jc w:val="both"/>
        <w:rPr>
          <w:lang w:val="en-GB"/>
        </w:rPr>
      </w:pPr>
    </w:p>
    <w:p w:rsidR="00812D16" w:rsidRPr="00180EC2" w:rsidRDefault="004B7E2F" w:rsidP="00F05E2A">
      <w:pPr>
        <w:jc w:val="both"/>
        <w:rPr>
          <w:i/>
          <w:color w:val="000000"/>
          <w:szCs w:val="22"/>
        </w:rPr>
      </w:pPr>
      <w:r w:rsidRPr="00180EC2">
        <w:rPr>
          <w:sz w:val="23"/>
          <w:szCs w:val="23"/>
        </w:rPr>
        <w:t xml:space="preserve">The decision to prescribe a selective COX-2 inhibitor should be based on an assessment of the individual patient's overall risks </w:t>
      </w:r>
      <w:r w:rsidR="00C02D5C" w:rsidRPr="00180EC2">
        <w:rPr>
          <w:noProof/>
          <w:szCs w:val="22"/>
        </w:rPr>
        <w:t xml:space="preserve">(see </w:t>
      </w:r>
      <w:r w:rsidR="00302DF7" w:rsidRPr="00180EC2">
        <w:rPr>
          <w:noProof/>
          <w:szCs w:val="22"/>
        </w:rPr>
        <w:t xml:space="preserve">section </w:t>
      </w:r>
      <w:r w:rsidR="00C02D5C" w:rsidRPr="00180EC2">
        <w:rPr>
          <w:noProof/>
          <w:szCs w:val="22"/>
        </w:rPr>
        <w:t xml:space="preserve">4.3, 4.4). </w:t>
      </w:r>
    </w:p>
    <w:p w:rsidR="00812D16" w:rsidRPr="00180EC2" w:rsidRDefault="00812D16" w:rsidP="00F05E2A">
      <w:pPr>
        <w:jc w:val="both"/>
        <w:rPr>
          <w:noProof/>
          <w:szCs w:val="22"/>
        </w:rPr>
      </w:pPr>
    </w:p>
    <w:p w:rsidR="00812D16" w:rsidRPr="00180EC2" w:rsidRDefault="00855481" w:rsidP="00F05E2A">
      <w:pPr>
        <w:spacing w:line="240" w:lineRule="auto"/>
        <w:jc w:val="both"/>
        <w:outlineLvl w:val="0"/>
        <w:rPr>
          <w:b/>
          <w:noProof/>
          <w:szCs w:val="22"/>
        </w:rPr>
      </w:pPr>
      <w:r w:rsidRPr="00180EC2">
        <w:rPr>
          <w:b/>
          <w:noProof/>
          <w:szCs w:val="22"/>
        </w:rPr>
        <w:t>4.2</w:t>
      </w:r>
      <w:r w:rsidRPr="00180EC2">
        <w:rPr>
          <w:b/>
          <w:noProof/>
          <w:szCs w:val="22"/>
        </w:rPr>
        <w:tab/>
      </w:r>
      <w:r w:rsidR="00812D16" w:rsidRPr="00180EC2">
        <w:rPr>
          <w:b/>
          <w:noProof/>
          <w:szCs w:val="22"/>
        </w:rPr>
        <w:t>Posology and method of administration</w:t>
      </w:r>
    </w:p>
    <w:p w:rsidR="00812D16" w:rsidRPr="00180EC2" w:rsidRDefault="00812D16" w:rsidP="00F05E2A">
      <w:pPr>
        <w:jc w:val="both"/>
        <w:rPr>
          <w:szCs w:val="22"/>
        </w:rPr>
      </w:pPr>
    </w:p>
    <w:p w:rsidR="00812D16" w:rsidRPr="00180EC2" w:rsidRDefault="00812D16" w:rsidP="00F05E2A">
      <w:pPr>
        <w:jc w:val="both"/>
        <w:rPr>
          <w:szCs w:val="22"/>
          <w:u w:val="single"/>
        </w:rPr>
      </w:pPr>
      <w:r w:rsidRPr="00180EC2">
        <w:rPr>
          <w:szCs w:val="22"/>
          <w:u w:val="single"/>
        </w:rPr>
        <w:t>Posology</w:t>
      </w:r>
    </w:p>
    <w:p w:rsidR="004B7E2F" w:rsidRPr="00180EC2" w:rsidRDefault="004B7E2F" w:rsidP="00F05E2A">
      <w:pPr>
        <w:jc w:val="both"/>
        <w:rPr>
          <w:szCs w:val="22"/>
        </w:rPr>
      </w:pPr>
    </w:p>
    <w:p w:rsidR="00205A12" w:rsidRPr="00140779" w:rsidRDefault="004B7E2F" w:rsidP="00BA0F47">
      <w:pPr>
        <w:tabs>
          <w:tab w:val="clear" w:pos="567"/>
        </w:tabs>
        <w:autoSpaceDE w:val="0"/>
        <w:autoSpaceDN w:val="0"/>
        <w:adjustRightInd w:val="0"/>
        <w:spacing w:line="240" w:lineRule="auto"/>
        <w:jc w:val="both"/>
        <w:rPr>
          <w:rFonts w:eastAsia="SimSun"/>
          <w:szCs w:val="22"/>
          <w:lang w:eastAsia="fr-BE"/>
        </w:rPr>
      </w:pPr>
      <w:r w:rsidRPr="00140779">
        <w:rPr>
          <w:rFonts w:eastAsia="SimSun"/>
          <w:szCs w:val="22"/>
          <w:lang w:eastAsia="fr-BE"/>
        </w:rPr>
        <w:t>As the cardiovascular risks of celecoxib may increase with dose and duration of exposure, the shortest</w:t>
      </w:r>
      <w:r w:rsidR="00BA0F47" w:rsidRPr="00140779">
        <w:rPr>
          <w:rFonts w:eastAsia="SimSun"/>
          <w:szCs w:val="22"/>
          <w:lang w:eastAsia="fr-BE"/>
        </w:rPr>
        <w:t xml:space="preserve"> </w:t>
      </w:r>
      <w:r w:rsidRPr="00140779">
        <w:rPr>
          <w:rFonts w:eastAsia="SimSun"/>
          <w:szCs w:val="22"/>
          <w:lang w:eastAsia="fr-BE"/>
        </w:rPr>
        <w:t>duration possible and the lowest effective daily dose should be used. The patient's need for</w:t>
      </w:r>
      <w:r w:rsidR="00BA0F47" w:rsidRPr="00140779">
        <w:rPr>
          <w:rFonts w:eastAsia="SimSun"/>
          <w:szCs w:val="22"/>
          <w:lang w:eastAsia="fr-BE"/>
        </w:rPr>
        <w:t xml:space="preserve"> </w:t>
      </w:r>
      <w:r w:rsidRPr="00140779">
        <w:rPr>
          <w:rFonts w:eastAsia="SimSun"/>
          <w:szCs w:val="22"/>
          <w:lang w:eastAsia="fr-BE"/>
        </w:rPr>
        <w:t>symptomatic relief and response to therapy should be re-evaluated periodically, especially in patients</w:t>
      </w:r>
      <w:r w:rsidR="00BA0F47" w:rsidRPr="00140779">
        <w:rPr>
          <w:rFonts w:eastAsia="SimSun"/>
          <w:szCs w:val="22"/>
          <w:lang w:eastAsia="fr-BE"/>
        </w:rPr>
        <w:t xml:space="preserve"> </w:t>
      </w:r>
      <w:r w:rsidRPr="00140779">
        <w:rPr>
          <w:rFonts w:eastAsia="SimSun"/>
          <w:szCs w:val="22"/>
          <w:lang w:eastAsia="fr-BE"/>
        </w:rPr>
        <w:t>with osteoarthritis</w:t>
      </w:r>
      <w:r w:rsidRPr="00180EC2">
        <w:rPr>
          <w:szCs w:val="22"/>
        </w:rPr>
        <w:t xml:space="preserve"> </w:t>
      </w:r>
      <w:r w:rsidR="00205A12" w:rsidRPr="00180EC2">
        <w:rPr>
          <w:szCs w:val="22"/>
        </w:rPr>
        <w:t>(</w:t>
      </w:r>
      <w:r w:rsidR="009F7078" w:rsidRPr="00180EC2">
        <w:rPr>
          <w:szCs w:val="22"/>
        </w:rPr>
        <w:t>see</w:t>
      </w:r>
      <w:r w:rsidR="00205A12" w:rsidRPr="00180EC2">
        <w:rPr>
          <w:szCs w:val="22"/>
        </w:rPr>
        <w:t xml:space="preserve"> </w:t>
      </w:r>
      <w:r w:rsidR="00302DF7" w:rsidRPr="00180EC2">
        <w:rPr>
          <w:noProof/>
          <w:szCs w:val="22"/>
        </w:rPr>
        <w:t xml:space="preserve">section </w:t>
      </w:r>
      <w:r w:rsidR="00205A12" w:rsidRPr="00180EC2">
        <w:rPr>
          <w:szCs w:val="22"/>
        </w:rPr>
        <w:t>4.3, 4.4, 4.8, 5.1).</w:t>
      </w:r>
    </w:p>
    <w:p w:rsidR="00205A12" w:rsidRPr="00180EC2" w:rsidRDefault="00205A12" w:rsidP="00F05E2A">
      <w:pPr>
        <w:jc w:val="both"/>
        <w:rPr>
          <w:szCs w:val="22"/>
        </w:rPr>
      </w:pPr>
    </w:p>
    <w:p w:rsidR="004B7E2F" w:rsidRPr="00140779" w:rsidRDefault="004B7E2F" w:rsidP="00BA0F47">
      <w:pPr>
        <w:tabs>
          <w:tab w:val="clear" w:pos="567"/>
        </w:tabs>
        <w:autoSpaceDE w:val="0"/>
        <w:autoSpaceDN w:val="0"/>
        <w:adjustRightInd w:val="0"/>
        <w:spacing w:line="240" w:lineRule="auto"/>
        <w:jc w:val="both"/>
        <w:rPr>
          <w:rFonts w:eastAsia="SimSun"/>
          <w:szCs w:val="22"/>
          <w:lang w:eastAsia="fr-BE"/>
        </w:rPr>
      </w:pPr>
      <w:r w:rsidRPr="00140779">
        <w:rPr>
          <w:rFonts w:eastAsia="SimSun"/>
          <w:i/>
          <w:iCs/>
          <w:szCs w:val="22"/>
          <w:lang w:eastAsia="fr-BE"/>
        </w:rPr>
        <w:t>Osteoarthritis</w:t>
      </w:r>
      <w:r w:rsidRPr="00140779">
        <w:rPr>
          <w:rFonts w:eastAsia="SimSun"/>
          <w:b/>
          <w:bCs/>
          <w:szCs w:val="22"/>
          <w:lang w:eastAsia="fr-BE"/>
        </w:rPr>
        <w:t xml:space="preserve">: </w:t>
      </w:r>
      <w:r w:rsidRPr="00140779">
        <w:rPr>
          <w:rFonts w:eastAsia="SimSun"/>
          <w:szCs w:val="22"/>
          <w:lang w:eastAsia="fr-BE"/>
        </w:rPr>
        <w:t>The usual recommended daily dose is 200 mg taken once daily or in two divided doses.</w:t>
      </w:r>
    </w:p>
    <w:p w:rsidR="00BC0F6B" w:rsidRPr="00140779" w:rsidRDefault="004B7E2F" w:rsidP="00BA0F47">
      <w:pPr>
        <w:tabs>
          <w:tab w:val="clear" w:pos="567"/>
        </w:tabs>
        <w:autoSpaceDE w:val="0"/>
        <w:autoSpaceDN w:val="0"/>
        <w:adjustRightInd w:val="0"/>
        <w:spacing w:line="240" w:lineRule="auto"/>
        <w:jc w:val="both"/>
        <w:rPr>
          <w:rFonts w:eastAsia="SimSun"/>
          <w:szCs w:val="22"/>
          <w:lang w:eastAsia="fr-BE"/>
        </w:rPr>
      </w:pPr>
      <w:r w:rsidRPr="00140779">
        <w:rPr>
          <w:rFonts w:eastAsia="SimSun"/>
          <w:szCs w:val="22"/>
          <w:lang w:eastAsia="fr-BE"/>
        </w:rPr>
        <w:t>In some patients, with insufficient relief from symptoms, an increased dose of 200 mg twice daily may</w:t>
      </w:r>
      <w:r w:rsidR="00BA0F47" w:rsidRPr="00140779">
        <w:rPr>
          <w:rFonts w:eastAsia="SimSun"/>
          <w:szCs w:val="22"/>
          <w:lang w:eastAsia="fr-BE"/>
        </w:rPr>
        <w:t xml:space="preserve"> </w:t>
      </w:r>
      <w:r w:rsidRPr="00140779">
        <w:rPr>
          <w:rFonts w:eastAsia="SimSun"/>
          <w:szCs w:val="22"/>
          <w:lang w:eastAsia="fr-BE"/>
        </w:rPr>
        <w:t>increase efficacy. In the absence of an increase in therapeutic benefit after two weeks, other therapeutic</w:t>
      </w:r>
      <w:r w:rsidR="00BA0F47" w:rsidRPr="00140779">
        <w:rPr>
          <w:rFonts w:eastAsia="SimSun"/>
          <w:szCs w:val="22"/>
          <w:lang w:eastAsia="fr-BE"/>
        </w:rPr>
        <w:t xml:space="preserve"> </w:t>
      </w:r>
      <w:r w:rsidRPr="00140779">
        <w:rPr>
          <w:rFonts w:eastAsia="SimSun"/>
          <w:szCs w:val="22"/>
          <w:lang w:eastAsia="fr-BE"/>
        </w:rPr>
        <w:t>options should be considered.</w:t>
      </w:r>
    </w:p>
    <w:p w:rsidR="004B7E2F" w:rsidRPr="00180EC2" w:rsidRDefault="004B7E2F" w:rsidP="00BA0F47">
      <w:pPr>
        <w:jc w:val="both"/>
        <w:rPr>
          <w:szCs w:val="22"/>
        </w:rPr>
      </w:pPr>
    </w:p>
    <w:p w:rsidR="00BC0F6B" w:rsidRPr="00140779" w:rsidRDefault="004B7E2F" w:rsidP="00BA0F47">
      <w:pPr>
        <w:tabs>
          <w:tab w:val="clear" w:pos="567"/>
        </w:tabs>
        <w:autoSpaceDE w:val="0"/>
        <w:autoSpaceDN w:val="0"/>
        <w:adjustRightInd w:val="0"/>
        <w:spacing w:line="240" w:lineRule="auto"/>
        <w:jc w:val="both"/>
        <w:rPr>
          <w:rFonts w:eastAsia="SimSun"/>
          <w:szCs w:val="22"/>
          <w:lang w:eastAsia="fr-BE"/>
        </w:rPr>
      </w:pPr>
      <w:r w:rsidRPr="00140779">
        <w:rPr>
          <w:rFonts w:eastAsia="SimSun"/>
          <w:i/>
          <w:iCs/>
          <w:szCs w:val="22"/>
          <w:lang w:eastAsia="fr-BE"/>
        </w:rPr>
        <w:t xml:space="preserve">Rheumatoid arthritis: </w:t>
      </w:r>
      <w:r w:rsidRPr="00140779">
        <w:rPr>
          <w:rFonts w:eastAsia="SimSun"/>
          <w:szCs w:val="22"/>
          <w:lang w:eastAsia="fr-BE"/>
        </w:rPr>
        <w:t>The initial recommended daily dose is 200 mg taken in two divided doses. The</w:t>
      </w:r>
      <w:r w:rsidR="00BA0F47" w:rsidRPr="00140779">
        <w:rPr>
          <w:rFonts w:eastAsia="SimSun"/>
          <w:szCs w:val="22"/>
          <w:lang w:eastAsia="fr-BE"/>
        </w:rPr>
        <w:t xml:space="preserve"> dose </w:t>
      </w:r>
      <w:r w:rsidRPr="00140779">
        <w:rPr>
          <w:rFonts w:eastAsia="SimSun"/>
          <w:szCs w:val="22"/>
          <w:lang w:eastAsia="fr-BE"/>
        </w:rPr>
        <w:t>may, if needed, later be increased to 200 mg twice daily. In the absence of an increase in</w:t>
      </w:r>
      <w:r w:rsidR="00BA0F47" w:rsidRPr="00140779">
        <w:rPr>
          <w:rFonts w:eastAsia="SimSun"/>
          <w:szCs w:val="22"/>
          <w:lang w:eastAsia="fr-BE"/>
        </w:rPr>
        <w:t xml:space="preserve"> </w:t>
      </w:r>
      <w:r w:rsidRPr="00140779">
        <w:rPr>
          <w:rFonts w:eastAsia="SimSun"/>
          <w:szCs w:val="22"/>
          <w:lang w:eastAsia="fr-BE"/>
        </w:rPr>
        <w:t>therapeutic benefit after two weeks, other therapeutic options should be considered.</w:t>
      </w:r>
    </w:p>
    <w:p w:rsidR="004B7E2F" w:rsidRPr="00180EC2" w:rsidRDefault="004B7E2F" w:rsidP="00BA0F47">
      <w:pPr>
        <w:jc w:val="both"/>
        <w:rPr>
          <w:szCs w:val="22"/>
        </w:rPr>
      </w:pPr>
    </w:p>
    <w:p w:rsidR="00BC0F6B" w:rsidRPr="00140779" w:rsidRDefault="009F7078" w:rsidP="00F05E2A">
      <w:pPr>
        <w:tabs>
          <w:tab w:val="clear" w:pos="567"/>
        </w:tabs>
        <w:autoSpaceDE w:val="0"/>
        <w:autoSpaceDN w:val="0"/>
        <w:adjustRightInd w:val="0"/>
        <w:spacing w:line="240" w:lineRule="auto"/>
        <w:jc w:val="both"/>
        <w:rPr>
          <w:rFonts w:eastAsia="SimSun"/>
          <w:sz w:val="24"/>
          <w:szCs w:val="24"/>
          <w:lang w:eastAsia="fr-BE"/>
        </w:rPr>
      </w:pPr>
      <w:r w:rsidRPr="00140779">
        <w:rPr>
          <w:rFonts w:eastAsia="SimSun"/>
          <w:i/>
          <w:iCs/>
          <w:sz w:val="24"/>
          <w:szCs w:val="24"/>
          <w:lang w:eastAsia="fr-BE"/>
        </w:rPr>
        <w:t xml:space="preserve">Ankylosing spondylitis: </w:t>
      </w:r>
      <w:r w:rsidRPr="00140779">
        <w:rPr>
          <w:rFonts w:eastAsia="SimSun"/>
          <w:sz w:val="24"/>
          <w:szCs w:val="24"/>
          <w:lang w:eastAsia="fr-BE"/>
        </w:rPr>
        <w:t xml:space="preserve">The recommended daily dose is 200 mg taken once daily or in two divided doses. In a few patients, with insufficient relief from symptoms, an increased dose of 400mg once daily or in two divided doses may increase efficacy. In the absence of an increase in therapeutic benefit after two weeks, other therapeutic options should be </w:t>
      </w:r>
      <w:r w:rsidR="002C23CE" w:rsidRPr="00180EC2">
        <w:rPr>
          <w:rFonts w:eastAsia="SimSun"/>
          <w:sz w:val="24"/>
          <w:szCs w:val="24"/>
          <w:lang w:eastAsia="fr-BE"/>
        </w:rPr>
        <w:t>considered.</w:t>
      </w:r>
      <w:r w:rsidR="002C23CE" w:rsidRPr="00180EC2">
        <w:rPr>
          <w:szCs w:val="22"/>
        </w:rPr>
        <w:t xml:space="preserve"> The</w:t>
      </w:r>
      <w:r w:rsidR="004B7E2F" w:rsidRPr="00180EC2">
        <w:rPr>
          <w:szCs w:val="22"/>
        </w:rPr>
        <w:t xml:space="preserve"> maximal recommended dose</w:t>
      </w:r>
      <w:r w:rsidR="00BC0F6B" w:rsidRPr="00180EC2">
        <w:rPr>
          <w:szCs w:val="22"/>
        </w:rPr>
        <w:t xml:space="preserve"> is 400 mg</w:t>
      </w:r>
      <w:r w:rsidR="004B7E2F" w:rsidRPr="00180EC2">
        <w:rPr>
          <w:szCs w:val="22"/>
        </w:rPr>
        <w:t xml:space="preserve"> for all indications</w:t>
      </w:r>
      <w:r w:rsidR="00BC0F6B" w:rsidRPr="00180EC2">
        <w:rPr>
          <w:szCs w:val="22"/>
        </w:rPr>
        <w:t>.</w:t>
      </w:r>
    </w:p>
    <w:p w:rsidR="00AD438B" w:rsidRPr="00180EC2" w:rsidRDefault="00AD438B" w:rsidP="00F05E2A">
      <w:pPr>
        <w:jc w:val="both"/>
        <w:rPr>
          <w:szCs w:val="22"/>
          <w:u w:val="single"/>
        </w:rPr>
      </w:pPr>
    </w:p>
    <w:p w:rsidR="00D90C97" w:rsidRPr="00140779" w:rsidRDefault="00D90C97" w:rsidP="00F05E2A">
      <w:pPr>
        <w:jc w:val="both"/>
        <w:rPr>
          <w:i/>
          <w:szCs w:val="22"/>
        </w:rPr>
      </w:pPr>
      <w:r w:rsidRPr="00140779">
        <w:rPr>
          <w:i/>
          <w:szCs w:val="22"/>
        </w:rPr>
        <w:t>Special populations</w:t>
      </w:r>
    </w:p>
    <w:p w:rsidR="00AD438B" w:rsidRPr="00140779" w:rsidRDefault="00AD438B" w:rsidP="00F05E2A">
      <w:pPr>
        <w:tabs>
          <w:tab w:val="clear" w:pos="567"/>
        </w:tabs>
        <w:autoSpaceDE w:val="0"/>
        <w:autoSpaceDN w:val="0"/>
        <w:adjustRightInd w:val="0"/>
        <w:spacing w:line="240" w:lineRule="auto"/>
        <w:jc w:val="both"/>
        <w:rPr>
          <w:rFonts w:eastAsia="SimSun"/>
          <w:szCs w:val="22"/>
          <w:lang w:eastAsia="fr-BE"/>
        </w:rPr>
      </w:pPr>
      <w:r w:rsidRPr="00180EC2">
        <w:rPr>
          <w:i/>
          <w:noProof/>
          <w:szCs w:val="22"/>
        </w:rPr>
        <w:t>Elderly (&gt; 65 ans)</w:t>
      </w:r>
      <w:r w:rsidRPr="00180EC2">
        <w:rPr>
          <w:noProof/>
          <w:szCs w:val="22"/>
        </w:rPr>
        <w:t xml:space="preserve">: </w:t>
      </w:r>
      <w:r w:rsidR="009F7078" w:rsidRPr="00140779">
        <w:rPr>
          <w:rFonts w:eastAsia="SimSun"/>
          <w:szCs w:val="22"/>
          <w:lang w:eastAsia="fr-BE"/>
        </w:rPr>
        <w:t xml:space="preserve">As in younger adults, 200 mg per day should be used initially. The dose may, if needed, later be increased to 200 mg twice daily. Particular caution should be exercised in elderly with a body weight less than 50 kg (see </w:t>
      </w:r>
      <w:r w:rsidR="00302DF7" w:rsidRPr="00180EC2">
        <w:rPr>
          <w:noProof/>
          <w:szCs w:val="22"/>
        </w:rPr>
        <w:t xml:space="preserve">section </w:t>
      </w:r>
      <w:r w:rsidR="009F7078" w:rsidRPr="00140779">
        <w:rPr>
          <w:rFonts w:eastAsia="SimSun"/>
          <w:szCs w:val="22"/>
          <w:lang w:eastAsia="fr-BE"/>
        </w:rPr>
        <w:t>4.4 and 5.2).</w:t>
      </w:r>
    </w:p>
    <w:p w:rsidR="00AD438B" w:rsidRPr="00180EC2" w:rsidRDefault="00AD438B" w:rsidP="00F05E2A">
      <w:pPr>
        <w:jc w:val="both"/>
        <w:rPr>
          <w:noProof/>
          <w:szCs w:val="22"/>
        </w:rPr>
      </w:pPr>
    </w:p>
    <w:p w:rsidR="00AD438B" w:rsidRPr="00140779" w:rsidRDefault="009F7078" w:rsidP="00F05E2A">
      <w:pPr>
        <w:tabs>
          <w:tab w:val="clear" w:pos="567"/>
        </w:tabs>
        <w:autoSpaceDE w:val="0"/>
        <w:autoSpaceDN w:val="0"/>
        <w:adjustRightInd w:val="0"/>
        <w:spacing w:line="240" w:lineRule="auto"/>
        <w:jc w:val="both"/>
        <w:rPr>
          <w:rFonts w:eastAsia="SimSun"/>
          <w:szCs w:val="22"/>
          <w:lang w:eastAsia="fr-BE"/>
        </w:rPr>
      </w:pPr>
      <w:r w:rsidRPr="00140779">
        <w:rPr>
          <w:rFonts w:eastAsia="SimSun"/>
          <w:i/>
          <w:iCs/>
          <w:szCs w:val="22"/>
          <w:lang w:eastAsia="fr-BE"/>
        </w:rPr>
        <w:lastRenderedPageBreak/>
        <w:t xml:space="preserve">Hepatic impairment: </w:t>
      </w:r>
      <w:r w:rsidRPr="00140779">
        <w:rPr>
          <w:rFonts w:eastAsia="SimSun"/>
          <w:szCs w:val="22"/>
          <w:lang w:eastAsia="fr-BE"/>
        </w:rPr>
        <w:t>Treatment should be initiated at half the recommended dose in patients with established moderate liver impairment with a serum albumin of 25-35 g/l. Experience in such patients is limited to cirrhotic patients</w:t>
      </w:r>
      <w:r w:rsidRPr="00180EC2">
        <w:rPr>
          <w:noProof/>
          <w:szCs w:val="22"/>
        </w:rPr>
        <w:t xml:space="preserve"> </w:t>
      </w:r>
      <w:r w:rsidR="00AD438B" w:rsidRPr="00180EC2">
        <w:rPr>
          <w:noProof/>
          <w:szCs w:val="22"/>
        </w:rPr>
        <w:t>(</w:t>
      </w:r>
      <w:r w:rsidRPr="00180EC2">
        <w:rPr>
          <w:noProof/>
          <w:szCs w:val="22"/>
        </w:rPr>
        <w:t>see</w:t>
      </w:r>
      <w:r w:rsidR="00AD438B" w:rsidRPr="00180EC2">
        <w:rPr>
          <w:noProof/>
          <w:szCs w:val="22"/>
        </w:rPr>
        <w:t xml:space="preserve"> </w:t>
      </w:r>
      <w:r w:rsidR="00302DF7" w:rsidRPr="00180EC2">
        <w:rPr>
          <w:noProof/>
          <w:szCs w:val="22"/>
        </w:rPr>
        <w:t xml:space="preserve">section </w:t>
      </w:r>
      <w:r w:rsidR="00AD438B" w:rsidRPr="00180EC2">
        <w:rPr>
          <w:noProof/>
          <w:szCs w:val="22"/>
        </w:rPr>
        <w:t xml:space="preserve">4.3, 4.4, 5.2). </w:t>
      </w:r>
    </w:p>
    <w:p w:rsidR="00AD438B" w:rsidRPr="00180EC2" w:rsidRDefault="00AD438B" w:rsidP="00F05E2A">
      <w:pPr>
        <w:jc w:val="both"/>
        <w:rPr>
          <w:noProof/>
          <w:szCs w:val="22"/>
        </w:rPr>
      </w:pPr>
    </w:p>
    <w:p w:rsidR="00AD438B" w:rsidRPr="00140779" w:rsidRDefault="009F7078" w:rsidP="00F05E2A">
      <w:pPr>
        <w:tabs>
          <w:tab w:val="clear" w:pos="567"/>
        </w:tabs>
        <w:autoSpaceDE w:val="0"/>
        <w:autoSpaceDN w:val="0"/>
        <w:adjustRightInd w:val="0"/>
        <w:spacing w:line="240" w:lineRule="auto"/>
        <w:jc w:val="both"/>
        <w:rPr>
          <w:rFonts w:eastAsia="SimSun"/>
          <w:szCs w:val="22"/>
          <w:lang w:eastAsia="fr-BE"/>
        </w:rPr>
      </w:pPr>
      <w:r w:rsidRPr="00140779">
        <w:rPr>
          <w:rFonts w:eastAsia="SimSun"/>
          <w:i/>
          <w:iCs/>
          <w:szCs w:val="22"/>
          <w:lang w:eastAsia="fr-BE"/>
        </w:rPr>
        <w:t xml:space="preserve">Renal impairment: </w:t>
      </w:r>
      <w:r w:rsidRPr="00140779">
        <w:rPr>
          <w:rFonts w:eastAsia="SimSun"/>
          <w:szCs w:val="22"/>
          <w:lang w:eastAsia="fr-BE"/>
        </w:rPr>
        <w:t>Experience with celecoxib in patients with mild or moderate renal impairment is limited, therefore such patients should be treated with caution.</w:t>
      </w:r>
      <w:r w:rsidRPr="00180EC2">
        <w:rPr>
          <w:noProof/>
          <w:szCs w:val="22"/>
        </w:rPr>
        <w:t xml:space="preserve"> </w:t>
      </w:r>
      <w:r w:rsidR="00AD438B" w:rsidRPr="00180EC2">
        <w:rPr>
          <w:noProof/>
          <w:szCs w:val="22"/>
        </w:rPr>
        <w:t>(</w:t>
      </w:r>
      <w:r w:rsidRPr="00180EC2">
        <w:rPr>
          <w:noProof/>
          <w:szCs w:val="22"/>
        </w:rPr>
        <w:t>see</w:t>
      </w:r>
      <w:r w:rsidR="00AD438B" w:rsidRPr="00180EC2">
        <w:rPr>
          <w:noProof/>
          <w:szCs w:val="22"/>
        </w:rPr>
        <w:t xml:space="preserve"> </w:t>
      </w:r>
      <w:r w:rsidR="00302DF7" w:rsidRPr="00180EC2">
        <w:rPr>
          <w:noProof/>
          <w:szCs w:val="22"/>
        </w:rPr>
        <w:t xml:space="preserve">section </w:t>
      </w:r>
      <w:r w:rsidR="00AD438B" w:rsidRPr="00180EC2">
        <w:rPr>
          <w:noProof/>
          <w:szCs w:val="22"/>
        </w:rPr>
        <w:t>4.3, 4.4, 5.2).</w:t>
      </w:r>
    </w:p>
    <w:p w:rsidR="00AD438B" w:rsidRPr="00180EC2" w:rsidRDefault="00AD438B" w:rsidP="00F05E2A">
      <w:pPr>
        <w:jc w:val="both"/>
        <w:rPr>
          <w:noProof/>
          <w:szCs w:val="22"/>
        </w:rPr>
      </w:pPr>
    </w:p>
    <w:p w:rsidR="009F7078" w:rsidRPr="00140779" w:rsidRDefault="009F7078" w:rsidP="00F05E2A">
      <w:pPr>
        <w:tabs>
          <w:tab w:val="clear" w:pos="567"/>
        </w:tabs>
        <w:autoSpaceDE w:val="0"/>
        <w:autoSpaceDN w:val="0"/>
        <w:adjustRightInd w:val="0"/>
        <w:spacing w:line="240" w:lineRule="auto"/>
        <w:jc w:val="both"/>
        <w:rPr>
          <w:rFonts w:eastAsia="SimSun"/>
          <w:szCs w:val="22"/>
          <w:lang w:eastAsia="fr-BE"/>
        </w:rPr>
      </w:pPr>
      <w:r w:rsidRPr="00140779">
        <w:rPr>
          <w:rFonts w:eastAsia="SimSun"/>
          <w:i/>
          <w:iCs/>
          <w:szCs w:val="22"/>
          <w:lang w:eastAsia="fr-BE"/>
        </w:rPr>
        <w:t xml:space="preserve">Children: </w:t>
      </w:r>
      <w:r w:rsidRPr="00140779">
        <w:rPr>
          <w:rFonts w:eastAsia="SimSun"/>
          <w:szCs w:val="22"/>
          <w:lang w:eastAsia="fr-BE"/>
        </w:rPr>
        <w:t>Celecoxib is not indicated for use in children.</w:t>
      </w:r>
    </w:p>
    <w:p w:rsidR="009F7078" w:rsidRPr="00140779" w:rsidRDefault="009F7078" w:rsidP="00F05E2A">
      <w:pPr>
        <w:tabs>
          <w:tab w:val="clear" w:pos="567"/>
        </w:tabs>
        <w:autoSpaceDE w:val="0"/>
        <w:autoSpaceDN w:val="0"/>
        <w:adjustRightInd w:val="0"/>
        <w:spacing w:line="240" w:lineRule="auto"/>
        <w:jc w:val="both"/>
        <w:rPr>
          <w:rFonts w:eastAsia="SimSun"/>
          <w:i/>
          <w:iCs/>
          <w:sz w:val="24"/>
          <w:szCs w:val="24"/>
          <w:lang w:eastAsia="fr-BE"/>
        </w:rPr>
      </w:pPr>
    </w:p>
    <w:p w:rsidR="00AD438B" w:rsidRPr="00180EC2" w:rsidRDefault="009F7078" w:rsidP="00F05E2A">
      <w:pPr>
        <w:tabs>
          <w:tab w:val="clear" w:pos="567"/>
        </w:tabs>
        <w:autoSpaceDE w:val="0"/>
        <w:autoSpaceDN w:val="0"/>
        <w:adjustRightInd w:val="0"/>
        <w:spacing w:line="240" w:lineRule="auto"/>
        <w:jc w:val="both"/>
        <w:rPr>
          <w:noProof/>
          <w:szCs w:val="22"/>
        </w:rPr>
      </w:pPr>
      <w:r w:rsidRPr="00140779">
        <w:rPr>
          <w:rFonts w:eastAsia="SimSun"/>
          <w:i/>
          <w:iCs/>
          <w:sz w:val="24"/>
          <w:szCs w:val="24"/>
          <w:lang w:eastAsia="fr-BE"/>
        </w:rPr>
        <w:t xml:space="preserve">CYP2C9 Poor Metabolizers: </w:t>
      </w:r>
      <w:r w:rsidRPr="00140779">
        <w:rPr>
          <w:rFonts w:eastAsia="SimSun"/>
          <w:sz w:val="24"/>
          <w:szCs w:val="24"/>
          <w:lang w:eastAsia="fr-BE"/>
        </w:rPr>
        <w:t>Patients who are known, or suspected to be CYP2C9 poor metabolizers based on genotyping or previous history/experience with other CYP2C9 substrates should be administered celecoxib with caution as the risk of dose-dependent adverse effects is increased. Consider reducing the dose to half the lowest recommended dose</w:t>
      </w:r>
      <w:r w:rsidRPr="00180EC2">
        <w:rPr>
          <w:noProof/>
          <w:szCs w:val="22"/>
        </w:rPr>
        <w:t xml:space="preserve"> </w:t>
      </w:r>
      <w:r w:rsidR="00AD438B" w:rsidRPr="00180EC2">
        <w:rPr>
          <w:noProof/>
          <w:szCs w:val="22"/>
        </w:rPr>
        <w:t>(</w:t>
      </w:r>
      <w:r w:rsidRPr="00180EC2">
        <w:rPr>
          <w:noProof/>
          <w:szCs w:val="22"/>
        </w:rPr>
        <w:t>see</w:t>
      </w:r>
      <w:r w:rsidR="00AD438B" w:rsidRPr="00180EC2">
        <w:rPr>
          <w:noProof/>
          <w:szCs w:val="22"/>
        </w:rPr>
        <w:t xml:space="preserve"> </w:t>
      </w:r>
      <w:r w:rsidR="00302DF7" w:rsidRPr="00180EC2">
        <w:rPr>
          <w:noProof/>
          <w:szCs w:val="22"/>
        </w:rPr>
        <w:t xml:space="preserve">section </w:t>
      </w:r>
      <w:r w:rsidR="00AD438B" w:rsidRPr="00180EC2">
        <w:rPr>
          <w:noProof/>
          <w:szCs w:val="22"/>
        </w:rPr>
        <w:t>5.2).</w:t>
      </w:r>
    </w:p>
    <w:p w:rsidR="00D90C97" w:rsidRPr="00180EC2" w:rsidRDefault="00D90C97" w:rsidP="00F05E2A">
      <w:pPr>
        <w:tabs>
          <w:tab w:val="clear" w:pos="567"/>
        </w:tabs>
        <w:autoSpaceDE w:val="0"/>
        <w:autoSpaceDN w:val="0"/>
        <w:adjustRightInd w:val="0"/>
        <w:spacing w:line="240" w:lineRule="auto"/>
        <w:jc w:val="both"/>
        <w:rPr>
          <w:noProof/>
          <w:szCs w:val="22"/>
        </w:rPr>
      </w:pPr>
    </w:p>
    <w:p w:rsidR="00D90C97" w:rsidRPr="00140779" w:rsidRDefault="00D90C97" w:rsidP="00F05E2A">
      <w:pPr>
        <w:tabs>
          <w:tab w:val="clear" w:pos="567"/>
        </w:tabs>
        <w:autoSpaceDE w:val="0"/>
        <w:autoSpaceDN w:val="0"/>
        <w:adjustRightInd w:val="0"/>
        <w:spacing w:line="240" w:lineRule="auto"/>
        <w:jc w:val="both"/>
        <w:rPr>
          <w:noProof/>
          <w:sz w:val="24"/>
          <w:szCs w:val="24"/>
          <w:u w:val="single"/>
        </w:rPr>
      </w:pPr>
      <w:r w:rsidRPr="00140779">
        <w:rPr>
          <w:noProof/>
          <w:sz w:val="24"/>
          <w:szCs w:val="24"/>
          <w:u w:val="single"/>
        </w:rPr>
        <w:t>Method of administration</w:t>
      </w:r>
    </w:p>
    <w:p w:rsidR="00D90C97" w:rsidRPr="00140779" w:rsidRDefault="00D90C97" w:rsidP="00140779">
      <w:pPr>
        <w:tabs>
          <w:tab w:val="clear" w:pos="567"/>
        </w:tabs>
        <w:autoSpaceDE w:val="0"/>
        <w:autoSpaceDN w:val="0"/>
        <w:adjustRightInd w:val="0"/>
        <w:spacing w:line="240" w:lineRule="auto"/>
        <w:rPr>
          <w:rFonts w:eastAsia="SimSun"/>
          <w:sz w:val="24"/>
          <w:szCs w:val="24"/>
          <w:lang w:eastAsia="fr-BE"/>
        </w:rPr>
      </w:pPr>
      <w:r w:rsidRPr="00140779">
        <w:rPr>
          <w:rFonts w:eastAsia="SimSun"/>
          <w:sz w:val="24"/>
          <w:szCs w:val="24"/>
          <w:lang w:eastAsia="fr-BE"/>
        </w:rPr>
        <w:t>Celecoxib is for oral use.</w:t>
      </w:r>
      <w:r w:rsidRPr="00140779">
        <w:rPr>
          <w:rFonts w:eastAsia="SimSun"/>
          <w:sz w:val="24"/>
          <w:szCs w:val="24"/>
          <w:lang w:eastAsia="fr-BE"/>
        </w:rPr>
        <w:br/>
        <w:t>Celecoxib may be taken with or without food.</w:t>
      </w:r>
    </w:p>
    <w:p w:rsidR="00812D16" w:rsidRPr="00180EC2" w:rsidRDefault="00812D16" w:rsidP="00F05E2A">
      <w:pPr>
        <w:jc w:val="both"/>
        <w:rPr>
          <w:noProof/>
          <w:szCs w:val="22"/>
        </w:rPr>
      </w:pPr>
    </w:p>
    <w:p w:rsidR="00812D16" w:rsidRPr="00140779" w:rsidRDefault="00812D16" w:rsidP="00F05E2A">
      <w:pPr>
        <w:pStyle w:val="ListParagraph"/>
        <w:numPr>
          <w:ilvl w:val="1"/>
          <w:numId w:val="28"/>
        </w:numPr>
        <w:jc w:val="both"/>
        <w:rPr>
          <w:rFonts w:ascii="Times New Roman" w:hAnsi="Times New Roman" w:cs="Times New Roman"/>
          <w:noProof/>
          <w:lang w:val="en-GB"/>
        </w:rPr>
      </w:pPr>
      <w:r w:rsidRPr="00140779">
        <w:rPr>
          <w:rFonts w:ascii="Times New Roman" w:hAnsi="Times New Roman" w:cs="Times New Roman"/>
          <w:b/>
          <w:noProof/>
          <w:lang w:val="en-GB"/>
        </w:rPr>
        <w:t>Contraindications</w:t>
      </w:r>
    </w:p>
    <w:p w:rsidR="009F7078" w:rsidRPr="00140779" w:rsidRDefault="009F7078" w:rsidP="00F05E2A">
      <w:pPr>
        <w:pStyle w:val="ListParagraph"/>
        <w:numPr>
          <w:ilvl w:val="0"/>
          <w:numId w:val="27"/>
        </w:numPr>
        <w:autoSpaceDE w:val="0"/>
        <w:autoSpaceDN w:val="0"/>
        <w:adjustRightInd w:val="0"/>
        <w:spacing w:line="240" w:lineRule="auto"/>
        <w:jc w:val="both"/>
        <w:rPr>
          <w:rFonts w:ascii="Times New Roman" w:eastAsia="SimSun" w:hAnsi="Times New Roman" w:cs="Times New Roman"/>
          <w:sz w:val="24"/>
          <w:szCs w:val="24"/>
          <w:lang w:val="en-GB" w:eastAsia="fr-BE"/>
        </w:rPr>
      </w:pPr>
      <w:r w:rsidRPr="00140779">
        <w:rPr>
          <w:rFonts w:ascii="Times New Roman" w:eastAsia="SimSun" w:hAnsi="Times New Roman" w:cs="Times New Roman"/>
          <w:sz w:val="24"/>
          <w:szCs w:val="24"/>
          <w:lang w:val="en-GB" w:eastAsia="fr-BE"/>
        </w:rPr>
        <w:t xml:space="preserve">History of hypersensitivity to the active substance or to any of the excipients (see </w:t>
      </w:r>
      <w:r w:rsidR="00302DF7" w:rsidRPr="00140779">
        <w:rPr>
          <w:noProof/>
          <w:lang w:val="en-GB"/>
        </w:rPr>
        <w:t xml:space="preserve">section </w:t>
      </w:r>
      <w:r w:rsidRPr="00140779">
        <w:rPr>
          <w:rFonts w:ascii="Times New Roman" w:eastAsia="SimSun" w:hAnsi="Times New Roman" w:cs="Times New Roman"/>
          <w:sz w:val="24"/>
          <w:szCs w:val="24"/>
          <w:lang w:val="en-GB" w:eastAsia="fr-BE"/>
        </w:rPr>
        <w:t>6.1).</w:t>
      </w:r>
    </w:p>
    <w:p w:rsidR="009F7078" w:rsidRPr="00140779" w:rsidRDefault="009F7078" w:rsidP="00F05E2A">
      <w:pPr>
        <w:pStyle w:val="ListParagraph"/>
        <w:numPr>
          <w:ilvl w:val="0"/>
          <w:numId w:val="27"/>
        </w:numPr>
        <w:autoSpaceDE w:val="0"/>
        <w:autoSpaceDN w:val="0"/>
        <w:adjustRightInd w:val="0"/>
        <w:spacing w:line="240" w:lineRule="auto"/>
        <w:jc w:val="both"/>
        <w:rPr>
          <w:rFonts w:ascii="Times New Roman" w:eastAsia="SimSun" w:hAnsi="Times New Roman" w:cs="Times New Roman"/>
          <w:sz w:val="24"/>
          <w:szCs w:val="24"/>
          <w:lang w:val="en-GB" w:eastAsia="fr-BE"/>
        </w:rPr>
      </w:pPr>
      <w:r w:rsidRPr="00140779">
        <w:rPr>
          <w:rFonts w:ascii="Times New Roman" w:eastAsia="SimSun" w:hAnsi="Times New Roman" w:cs="Times New Roman"/>
          <w:sz w:val="24"/>
          <w:szCs w:val="24"/>
          <w:lang w:val="en-GB" w:eastAsia="fr-BE"/>
        </w:rPr>
        <w:t>Known hypersensitivity to sulphonamides.</w:t>
      </w:r>
    </w:p>
    <w:p w:rsidR="009F7078" w:rsidRPr="00140779" w:rsidRDefault="009F7078" w:rsidP="00F05E2A">
      <w:pPr>
        <w:pStyle w:val="ListParagraph"/>
        <w:numPr>
          <w:ilvl w:val="0"/>
          <w:numId w:val="27"/>
        </w:numPr>
        <w:autoSpaceDE w:val="0"/>
        <w:autoSpaceDN w:val="0"/>
        <w:adjustRightInd w:val="0"/>
        <w:spacing w:line="240" w:lineRule="auto"/>
        <w:jc w:val="both"/>
        <w:rPr>
          <w:rFonts w:ascii="Times New Roman" w:eastAsia="SimSun" w:hAnsi="Times New Roman" w:cs="Times New Roman"/>
          <w:sz w:val="24"/>
          <w:szCs w:val="24"/>
          <w:lang w:val="en-GB" w:eastAsia="fr-BE"/>
        </w:rPr>
      </w:pPr>
      <w:r w:rsidRPr="00140779">
        <w:rPr>
          <w:rFonts w:ascii="Times New Roman" w:eastAsia="SimSun" w:hAnsi="Times New Roman" w:cs="Times New Roman"/>
          <w:sz w:val="24"/>
          <w:szCs w:val="24"/>
          <w:lang w:val="en-GB" w:eastAsia="fr-BE"/>
        </w:rPr>
        <w:t>Active peptic ulceration or gastrointestinal (GI) bleeding.</w:t>
      </w:r>
    </w:p>
    <w:p w:rsidR="009F7078" w:rsidRPr="00140779" w:rsidRDefault="009F7078" w:rsidP="00F05E2A">
      <w:pPr>
        <w:pStyle w:val="ListParagraph"/>
        <w:numPr>
          <w:ilvl w:val="0"/>
          <w:numId w:val="27"/>
        </w:numPr>
        <w:autoSpaceDE w:val="0"/>
        <w:autoSpaceDN w:val="0"/>
        <w:adjustRightInd w:val="0"/>
        <w:spacing w:line="240" w:lineRule="auto"/>
        <w:jc w:val="both"/>
        <w:rPr>
          <w:rFonts w:ascii="Times New Roman" w:eastAsia="SimSun" w:hAnsi="Times New Roman" w:cs="Times New Roman"/>
          <w:sz w:val="24"/>
          <w:szCs w:val="24"/>
          <w:lang w:val="en-GB" w:eastAsia="fr-BE"/>
        </w:rPr>
      </w:pPr>
      <w:r w:rsidRPr="00140779">
        <w:rPr>
          <w:rFonts w:ascii="Times New Roman" w:eastAsia="SimSun" w:hAnsi="Times New Roman" w:cs="Times New Roman"/>
          <w:sz w:val="24"/>
          <w:szCs w:val="24"/>
          <w:lang w:val="en-GB" w:eastAsia="fr-BE"/>
        </w:rPr>
        <w:t>Patients who have experienced asthma, acute rhinitis, nasal polyps, angioneurotic oedema, urticaria or other allergic-type reactions after taking acetylsalicylic acid or NSAIDs including COX-2 (cyclooxygenase-</w:t>
      </w:r>
      <w:r w:rsidR="002C23CE" w:rsidRPr="00180EC2">
        <w:rPr>
          <w:rFonts w:ascii="Times New Roman" w:eastAsia="SimSun" w:hAnsi="Times New Roman" w:cs="Times New Roman"/>
          <w:sz w:val="24"/>
          <w:szCs w:val="24"/>
          <w:lang w:val="en-GB" w:eastAsia="fr-BE"/>
        </w:rPr>
        <w:t>2) inhibitors</w:t>
      </w:r>
      <w:r w:rsidRPr="00140779">
        <w:rPr>
          <w:rFonts w:ascii="Times New Roman" w:eastAsia="SimSun" w:hAnsi="Times New Roman" w:cs="Times New Roman"/>
          <w:sz w:val="24"/>
          <w:szCs w:val="24"/>
          <w:lang w:val="en-GB" w:eastAsia="fr-BE"/>
        </w:rPr>
        <w:t>.</w:t>
      </w:r>
      <w:r w:rsidRPr="00140779">
        <w:rPr>
          <w:rFonts w:ascii="Times New Roman" w:eastAsia="SimSun" w:hAnsi="Times New Roman" w:cs="Times New Roman"/>
          <w:sz w:val="24"/>
          <w:szCs w:val="24"/>
          <w:lang w:val="en-GB" w:eastAsia="fr-BE"/>
        </w:rPr>
        <w:tab/>
      </w:r>
    </w:p>
    <w:p w:rsidR="009F7078" w:rsidRPr="00140779" w:rsidRDefault="009F7078" w:rsidP="00F05E2A">
      <w:pPr>
        <w:pStyle w:val="ListParagraph"/>
        <w:numPr>
          <w:ilvl w:val="0"/>
          <w:numId w:val="27"/>
        </w:numPr>
        <w:autoSpaceDE w:val="0"/>
        <w:autoSpaceDN w:val="0"/>
        <w:adjustRightInd w:val="0"/>
        <w:spacing w:line="240" w:lineRule="auto"/>
        <w:jc w:val="both"/>
        <w:rPr>
          <w:rFonts w:ascii="Times New Roman" w:eastAsia="SimSun" w:hAnsi="Times New Roman" w:cs="Times New Roman"/>
          <w:sz w:val="24"/>
          <w:szCs w:val="24"/>
          <w:lang w:val="en-GB" w:eastAsia="fr-BE"/>
        </w:rPr>
      </w:pPr>
      <w:r w:rsidRPr="00140779">
        <w:rPr>
          <w:rFonts w:ascii="Times New Roman" w:eastAsia="SimSun" w:hAnsi="Times New Roman" w:cs="Times New Roman"/>
          <w:sz w:val="24"/>
          <w:szCs w:val="24"/>
          <w:lang w:val="en-GB" w:eastAsia="fr-BE"/>
        </w:rPr>
        <w:t>In pregnancy and in women of childbearing potential unless using an effective method of contraception (</w:t>
      </w:r>
      <w:r w:rsidR="00302DF7" w:rsidRPr="00140779">
        <w:rPr>
          <w:rFonts w:ascii="Times New Roman" w:eastAsia="SimSun" w:hAnsi="Times New Roman" w:cs="Times New Roman"/>
          <w:sz w:val="24"/>
          <w:szCs w:val="24"/>
          <w:lang w:val="en-GB" w:eastAsia="fr-BE"/>
        </w:rPr>
        <w:t xml:space="preserve">see </w:t>
      </w:r>
      <w:r w:rsidR="00302DF7" w:rsidRPr="00140779">
        <w:rPr>
          <w:noProof/>
          <w:lang w:val="en-GB"/>
        </w:rPr>
        <w:t xml:space="preserve">section </w:t>
      </w:r>
      <w:r w:rsidRPr="00140779">
        <w:rPr>
          <w:rFonts w:ascii="Times New Roman" w:eastAsia="SimSun" w:hAnsi="Times New Roman" w:cs="Times New Roman"/>
          <w:sz w:val="24"/>
          <w:szCs w:val="24"/>
          <w:lang w:val="en-GB" w:eastAsia="fr-BE"/>
        </w:rPr>
        <w:t>4.5). Celecoxib has been shown to cause malformations in the two animal species studied (</w:t>
      </w:r>
      <w:r w:rsidR="00302DF7" w:rsidRPr="00140779">
        <w:rPr>
          <w:rFonts w:ascii="Times New Roman" w:eastAsia="SimSun" w:hAnsi="Times New Roman" w:cs="Times New Roman"/>
          <w:sz w:val="24"/>
          <w:szCs w:val="24"/>
          <w:lang w:val="en-GB" w:eastAsia="fr-BE"/>
        </w:rPr>
        <w:t xml:space="preserve">see </w:t>
      </w:r>
      <w:r w:rsidR="00302DF7" w:rsidRPr="00140779">
        <w:rPr>
          <w:noProof/>
          <w:lang w:val="en-GB"/>
        </w:rPr>
        <w:t xml:space="preserve">section </w:t>
      </w:r>
      <w:r w:rsidRPr="00140779">
        <w:rPr>
          <w:rFonts w:ascii="Times New Roman" w:eastAsia="SimSun" w:hAnsi="Times New Roman" w:cs="Times New Roman"/>
          <w:sz w:val="24"/>
          <w:szCs w:val="24"/>
          <w:lang w:val="en-GB" w:eastAsia="fr-BE"/>
        </w:rPr>
        <w:t>4.6 and 5.3). The potential for human risk in pregnancy is unknown, but cannot be excluded.</w:t>
      </w:r>
    </w:p>
    <w:p w:rsidR="009F7078" w:rsidRPr="00140779" w:rsidRDefault="009F7078" w:rsidP="00F05E2A">
      <w:pPr>
        <w:pStyle w:val="ListParagraph"/>
        <w:numPr>
          <w:ilvl w:val="0"/>
          <w:numId w:val="27"/>
        </w:numPr>
        <w:autoSpaceDE w:val="0"/>
        <w:autoSpaceDN w:val="0"/>
        <w:adjustRightInd w:val="0"/>
        <w:spacing w:line="240" w:lineRule="auto"/>
        <w:jc w:val="both"/>
        <w:rPr>
          <w:rFonts w:ascii="Times New Roman" w:eastAsia="SimSun" w:hAnsi="Times New Roman" w:cs="Times New Roman"/>
          <w:sz w:val="24"/>
          <w:szCs w:val="24"/>
          <w:lang w:val="en-GB" w:eastAsia="fr-BE"/>
        </w:rPr>
      </w:pPr>
      <w:r w:rsidRPr="00140779">
        <w:rPr>
          <w:rFonts w:ascii="Times New Roman" w:eastAsia="SimSun" w:hAnsi="Times New Roman" w:cs="Times New Roman"/>
          <w:sz w:val="24"/>
          <w:szCs w:val="24"/>
          <w:lang w:val="en-GB" w:eastAsia="fr-BE"/>
        </w:rPr>
        <w:t>Breast feeding (</w:t>
      </w:r>
      <w:r w:rsidR="00302DF7" w:rsidRPr="00140779">
        <w:rPr>
          <w:rFonts w:ascii="Times New Roman" w:eastAsia="SimSun" w:hAnsi="Times New Roman" w:cs="Times New Roman"/>
          <w:sz w:val="24"/>
          <w:szCs w:val="24"/>
          <w:lang w:val="en-GB" w:eastAsia="fr-BE"/>
        </w:rPr>
        <w:t xml:space="preserve">see </w:t>
      </w:r>
      <w:r w:rsidR="00302DF7" w:rsidRPr="00140779">
        <w:rPr>
          <w:noProof/>
          <w:lang w:val="en-GB"/>
        </w:rPr>
        <w:t xml:space="preserve">section </w:t>
      </w:r>
      <w:r w:rsidRPr="00140779">
        <w:rPr>
          <w:rFonts w:ascii="Times New Roman" w:eastAsia="SimSun" w:hAnsi="Times New Roman" w:cs="Times New Roman"/>
          <w:sz w:val="24"/>
          <w:szCs w:val="24"/>
          <w:lang w:val="en-GB" w:eastAsia="fr-BE"/>
        </w:rPr>
        <w:t>4.6 and 5.3).</w:t>
      </w:r>
    </w:p>
    <w:p w:rsidR="009F7078" w:rsidRPr="00140779" w:rsidRDefault="009F7078" w:rsidP="00F05E2A">
      <w:pPr>
        <w:pStyle w:val="ListParagraph"/>
        <w:numPr>
          <w:ilvl w:val="0"/>
          <w:numId w:val="27"/>
        </w:numPr>
        <w:autoSpaceDE w:val="0"/>
        <w:autoSpaceDN w:val="0"/>
        <w:adjustRightInd w:val="0"/>
        <w:spacing w:line="240" w:lineRule="auto"/>
        <w:jc w:val="both"/>
        <w:rPr>
          <w:rFonts w:ascii="Times New Roman" w:eastAsia="SimSun" w:hAnsi="Times New Roman" w:cs="Times New Roman"/>
          <w:sz w:val="24"/>
          <w:szCs w:val="24"/>
          <w:lang w:val="en-GB" w:eastAsia="fr-BE"/>
        </w:rPr>
      </w:pPr>
      <w:r w:rsidRPr="00140779">
        <w:rPr>
          <w:rFonts w:ascii="Times New Roman" w:eastAsia="SimSun" w:hAnsi="Times New Roman" w:cs="Times New Roman"/>
          <w:sz w:val="24"/>
          <w:szCs w:val="24"/>
          <w:lang w:val="en-GB" w:eastAsia="fr-BE"/>
        </w:rPr>
        <w:t xml:space="preserve">Severe hepatic dysfunction (serum albumin &lt;25 g/l or Child-Pugh score </w:t>
      </w:r>
      <w:r w:rsidRPr="00140779">
        <w:rPr>
          <w:rFonts w:ascii="Times New Roman" w:eastAsia="SimSun" w:hAnsi="Times New Roman" w:cs="Times New Roman" w:hint="eastAsia"/>
          <w:sz w:val="24"/>
          <w:szCs w:val="24"/>
          <w:lang w:val="en-GB" w:eastAsia="fr-BE"/>
        </w:rPr>
        <w:t>≥</w:t>
      </w:r>
      <w:r w:rsidRPr="00140779">
        <w:rPr>
          <w:rFonts w:ascii="Times New Roman" w:eastAsia="SimSun" w:hAnsi="Times New Roman" w:cs="Times New Roman"/>
          <w:sz w:val="24"/>
          <w:szCs w:val="24"/>
          <w:lang w:val="en-GB" w:eastAsia="fr-BE"/>
        </w:rPr>
        <w:t xml:space="preserve"> 10).</w:t>
      </w:r>
    </w:p>
    <w:p w:rsidR="009F7078" w:rsidRPr="00140779" w:rsidRDefault="009F7078" w:rsidP="00F05E2A">
      <w:pPr>
        <w:pStyle w:val="ListParagraph"/>
        <w:numPr>
          <w:ilvl w:val="0"/>
          <w:numId w:val="27"/>
        </w:numPr>
        <w:autoSpaceDE w:val="0"/>
        <w:autoSpaceDN w:val="0"/>
        <w:adjustRightInd w:val="0"/>
        <w:spacing w:line="240" w:lineRule="auto"/>
        <w:jc w:val="both"/>
        <w:rPr>
          <w:rFonts w:ascii="Times New Roman" w:eastAsia="SimSun" w:hAnsi="Times New Roman" w:cs="Times New Roman"/>
          <w:sz w:val="24"/>
          <w:szCs w:val="24"/>
          <w:lang w:val="en-GB" w:eastAsia="fr-BE"/>
        </w:rPr>
      </w:pPr>
      <w:r w:rsidRPr="00140779">
        <w:rPr>
          <w:rFonts w:ascii="Times New Roman" w:eastAsia="SimSun" w:hAnsi="Times New Roman" w:cs="Times New Roman"/>
          <w:sz w:val="24"/>
          <w:szCs w:val="24"/>
          <w:lang w:val="en-GB" w:eastAsia="fr-BE"/>
        </w:rPr>
        <w:t>Patients with estimated creatinine clearance &lt;30 ml/min.</w:t>
      </w:r>
    </w:p>
    <w:p w:rsidR="009F7078" w:rsidRPr="00140779" w:rsidRDefault="009F7078" w:rsidP="00F05E2A">
      <w:pPr>
        <w:pStyle w:val="ListParagraph"/>
        <w:numPr>
          <w:ilvl w:val="0"/>
          <w:numId w:val="27"/>
        </w:numPr>
        <w:autoSpaceDE w:val="0"/>
        <w:autoSpaceDN w:val="0"/>
        <w:adjustRightInd w:val="0"/>
        <w:spacing w:line="240" w:lineRule="auto"/>
        <w:jc w:val="both"/>
        <w:rPr>
          <w:rFonts w:ascii="Times New Roman" w:eastAsia="SimSun" w:hAnsi="Times New Roman" w:cs="Times New Roman"/>
          <w:sz w:val="24"/>
          <w:szCs w:val="24"/>
          <w:lang w:val="en-GB" w:eastAsia="fr-BE"/>
        </w:rPr>
      </w:pPr>
      <w:r w:rsidRPr="00140779">
        <w:rPr>
          <w:rFonts w:ascii="Times New Roman" w:eastAsia="SimSun" w:hAnsi="Times New Roman" w:cs="Times New Roman"/>
          <w:sz w:val="24"/>
          <w:szCs w:val="24"/>
          <w:lang w:val="en-GB" w:eastAsia="fr-BE"/>
        </w:rPr>
        <w:t>Inflammatory bowel disease.</w:t>
      </w:r>
      <w:r w:rsidR="00302DF7" w:rsidRPr="00140779">
        <w:rPr>
          <w:rFonts w:ascii="Times New Roman" w:eastAsia="SimSun" w:hAnsi="Times New Roman" w:cs="Times New Roman"/>
          <w:sz w:val="24"/>
          <w:szCs w:val="24"/>
          <w:lang w:val="en-GB" w:eastAsia="fr-BE"/>
        </w:rPr>
        <w:t xml:space="preserve"> </w:t>
      </w:r>
    </w:p>
    <w:p w:rsidR="009F7078" w:rsidRPr="00140779" w:rsidRDefault="009F7078" w:rsidP="00F05E2A">
      <w:pPr>
        <w:pStyle w:val="ListParagraph"/>
        <w:numPr>
          <w:ilvl w:val="0"/>
          <w:numId w:val="27"/>
        </w:numPr>
        <w:autoSpaceDE w:val="0"/>
        <w:autoSpaceDN w:val="0"/>
        <w:adjustRightInd w:val="0"/>
        <w:spacing w:line="240" w:lineRule="auto"/>
        <w:jc w:val="both"/>
        <w:rPr>
          <w:rFonts w:ascii="Times New Roman" w:eastAsia="SimSun" w:hAnsi="Times New Roman" w:cs="Times New Roman"/>
          <w:sz w:val="24"/>
          <w:szCs w:val="24"/>
          <w:lang w:val="en-GB" w:eastAsia="fr-BE"/>
        </w:rPr>
      </w:pPr>
      <w:r w:rsidRPr="00140779">
        <w:rPr>
          <w:rFonts w:ascii="Times New Roman" w:eastAsia="SimSun" w:hAnsi="Times New Roman" w:cs="Times New Roman"/>
          <w:sz w:val="24"/>
          <w:szCs w:val="24"/>
          <w:lang w:val="en-GB" w:eastAsia="fr-BE"/>
        </w:rPr>
        <w:t>Congestive heart failure (NYHA II-IV).</w:t>
      </w:r>
    </w:p>
    <w:p w:rsidR="009F78FD" w:rsidRPr="00140779" w:rsidRDefault="009F7078" w:rsidP="00F05E2A">
      <w:pPr>
        <w:pStyle w:val="ListParagraph"/>
        <w:numPr>
          <w:ilvl w:val="0"/>
          <w:numId w:val="27"/>
        </w:numPr>
        <w:autoSpaceDE w:val="0"/>
        <w:autoSpaceDN w:val="0"/>
        <w:adjustRightInd w:val="0"/>
        <w:spacing w:line="240" w:lineRule="auto"/>
        <w:jc w:val="both"/>
        <w:rPr>
          <w:rFonts w:ascii="Times New Roman" w:eastAsia="SimSun" w:hAnsi="Times New Roman" w:cs="Times New Roman"/>
          <w:sz w:val="24"/>
          <w:szCs w:val="24"/>
          <w:lang w:val="en-GB" w:eastAsia="fr-BE"/>
        </w:rPr>
      </w:pPr>
      <w:r w:rsidRPr="00140779">
        <w:rPr>
          <w:rFonts w:ascii="Times New Roman" w:eastAsia="SimSun" w:hAnsi="Times New Roman" w:cs="Times New Roman"/>
          <w:sz w:val="24"/>
          <w:szCs w:val="24"/>
          <w:lang w:val="en-GB" w:eastAsia="fr-BE"/>
        </w:rPr>
        <w:t>Established ischaemic heart disease, peripheral arterial disease and/or cerebrovascular disease.</w:t>
      </w:r>
    </w:p>
    <w:p w:rsidR="00812D16" w:rsidRPr="00180EC2" w:rsidRDefault="00812D16" w:rsidP="00F05E2A">
      <w:pPr>
        <w:jc w:val="both"/>
        <w:rPr>
          <w:noProof/>
          <w:szCs w:val="22"/>
        </w:rPr>
      </w:pPr>
    </w:p>
    <w:p w:rsidR="00812D16" w:rsidRPr="00180EC2" w:rsidRDefault="00812D16" w:rsidP="00F05E2A">
      <w:pPr>
        <w:ind w:left="567" w:hanging="567"/>
        <w:jc w:val="both"/>
        <w:rPr>
          <w:b/>
          <w:noProof/>
          <w:szCs w:val="22"/>
        </w:rPr>
      </w:pPr>
      <w:r w:rsidRPr="00180EC2">
        <w:rPr>
          <w:b/>
          <w:noProof/>
          <w:szCs w:val="22"/>
        </w:rPr>
        <w:t>4.4</w:t>
      </w:r>
      <w:r w:rsidRPr="00180EC2">
        <w:rPr>
          <w:b/>
          <w:noProof/>
          <w:szCs w:val="22"/>
        </w:rPr>
        <w:tab/>
        <w:t>Special warnings and precautions for use</w:t>
      </w:r>
    </w:p>
    <w:p w:rsidR="00812D16" w:rsidRPr="00180EC2" w:rsidRDefault="00812D16" w:rsidP="00F05E2A">
      <w:pPr>
        <w:jc w:val="both"/>
        <w:rPr>
          <w:b/>
          <w:noProof/>
          <w:szCs w:val="22"/>
        </w:rPr>
      </w:pPr>
    </w:p>
    <w:p w:rsidR="00302DF7" w:rsidRPr="00180EC2" w:rsidRDefault="00302DF7" w:rsidP="00F05E2A">
      <w:pPr>
        <w:tabs>
          <w:tab w:val="clear" w:pos="567"/>
        </w:tabs>
        <w:autoSpaceDE w:val="0"/>
        <w:autoSpaceDN w:val="0"/>
        <w:adjustRightInd w:val="0"/>
        <w:spacing w:line="240" w:lineRule="auto"/>
        <w:jc w:val="both"/>
        <w:rPr>
          <w:noProof/>
          <w:szCs w:val="22"/>
          <w:u w:val="single"/>
        </w:rPr>
      </w:pPr>
      <w:r w:rsidRPr="00180EC2">
        <w:rPr>
          <w:noProof/>
          <w:szCs w:val="22"/>
          <w:u w:val="single"/>
        </w:rPr>
        <w:t>Gastrointestinal (GI) effects</w:t>
      </w:r>
    </w:p>
    <w:p w:rsidR="009F7078" w:rsidRPr="00140779" w:rsidRDefault="00BA4957" w:rsidP="00F05E2A">
      <w:pPr>
        <w:tabs>
          <w:tab w:val="clear" w:pos="567"/>
        </w:tabs>
        <w:autoSpaceDE w:val="0"/>
        <w:autoSpaceDN w:val="0"/>
        <w:adjustRightInd w:val="0"/>
        <w:spacing w:line="240" w:lineRule="auto"/>
        <w:jc w:val="both"/>
        <w:rPr>
          <w:rFonts w:eastAsia="SimSun"/>
          <w:szCs w:val="22"/>
          <w:lang w:eastAsia="fr-BE"/>
        </w:rPr>
      </w:pPr>
      <w:r w:rsidRPr="00180EC2">
        <w:rPr>
          <w:noProof/>
          <w:szCs w:val="22"/>
        </w:rPr>
        <w:t>Upper gastro-intestinal complications [perforations ulcers or bleeding</w:t>
      </w:r>
      <w:r w:rsidR="009F7078" w:rsidRPr="00180EC2">
        <w:rPr>
          <w:noProof/>
          <w:szCs w:val="22"/>
        </w:rPr>
        <w:t>s (PUBs</w:t>
      </w:r>
      <w:r w:rsidRPr="00180EC2">
        <w:rPr>
          <w:noProof/>
          <w:szCs w:val="22"/>
        </w:rPr>
        <w:t>)]</w:t>
      </w:r>
      <w:r w:rsidR="009F7078" w:rsidRPr="00180EC2">
        <w:rPr>
          <w:noProof/>
          <w:szCs w:val="22"/>
        </w:rPr>
        <w:t xml:space="preserve">, </w:t>
      </w:r>
      <w:r w:rsidR="009F7078" w:rsidRPr="00140779">
        <w:rPr>
          <w:rFonts w:eastAsia="SimSun"/>
          <w:szCs w:val="22"/>
          <w:lang w:eastAsia="fr-BE"/>
        </w:rPr>
        <w:t>some of them resulting in fatal outcome, have occurred in patients treated with celecoxib. Caution is advised with treatment of patients most at risk of developing a gastrointestinal complication with NSAIDs; the elderly, patients using any other</w:t>
      </w:r>
    </w:p>
    <w:p w:rsidR="009F7078" w:rsidRPr="00140779" w:rsidRDefault="009F7078" w:rsidP="00F05E2A">
      <w:pPr>
        <w:tabs>
          <w:tab w:val="clear" w:pos="567"/>
        </w:tabs>
        <w:autoSpaceDE w:val="0"/>
        <w:autoSpaceDN w:val="0"/>
        <w:adjustRightInd w:val="0"/>
        <w:spacing w:line="240" w:lineRule="auto"/>
        <w:jc w:val="both"/>
        <w:rPr>
          <w:rFonts w:eastAsia="SimSun"/>
          <w:szCs w:val="22"/>
          <w:lang w:eastAsia="fr-BE"/>
        </w:rPr>
      </w:pPr>
      <w:r w:rsidRPr="00140779">
        <w:rPr>
          <w:rFonts w:eastAsia="SimSun"/>
          <w:szCs w:val="22"/>
          <w:lang w:eastAsia="fr-BE"/>
        </w:rPr>
        <w:t>NSAID or acetylsalicylic acid concomitantly or patients with a prior history of gastrointestinal disease, such as ulceration and GI bleeding.</w:t>
      </w:r>
    </w:p>
    <w:p w:rsidR="009F7078" w:rsidRPr="00140779" w:rsidRDefault="009F7078" w:rsidP="00F05E2A">
      <w:pPr>
        <w:tabs>
          <w:tab w:val="clear" w:pos="567"/>
        </w:tabs>
        <w:autoSpaceDE w:val="0"/>
        <w:autoSpaceDN w:val="0"/>
        <w:adjustRightInd w:val="0"/>
        <w:spacing w:line="240" w:lineRule="auto"/>
        <w:jc w:val="both"/>
        <w:rPr>
          <w:rFonts w:eastAsia="SimSun"/>
          <w:szCs w:val="22"/>
          <w:lang w:eastAsia="fr-BE"/>
        </w:rPr>
      </w:pPr>
    </w:p>
    <w:p w:rsidR="009F7078" w:rsidRPr="00140779" w:rsidRDefault="009F7078" w:rsidP="00F05E2A">
      <w:pPr>
        <w:tabs>
          <w:tab w:val="clear" w:pos="567"/>
        </w:tabs>
        <w:autoSpaceDE w:val="0"/>
        <w:autoSpaceDN w:val="0"/>
        <w:adjustRightInd w:val="0"/>
        <w:spacing w:line="240" w:lineRule="auto"/>
        <w:jc w:val="both"/>
        <w:rPr>
          <w:rFonts w:eastAsia="SimSun"/>
          <w:szCs w:val="22"/>
          <w:lang w:eastAsia="fr-BE"/>
        </w:rPr>
      </w:pPr>
      <w:r w:rsidRPr="00140779">
        <w:rPr>
          <w:rFonts w:eastAsia="SimSun"/>
          <w:szCs w:val="22"/>
          <w:lang w:eastAsia="fr-BE"/>
        </w:rPr>
        <w:t>There is further increase in the risk of gastrointestinal adverse effects for celecoxib</w:t>
      </w:r>
      <w:r w:rsidR="00F116D5" w:rsidRPr="00140779">
        <w:rPr>
          <w:rFonts w:eastAsia="SimSun"/>
          <w:szCs w:val="22"/>
          <w:lang w:eastAsia="fr-BE"/>
        </w:rPr>
        <w:t xml:space="preserve"> (gastrointestinal </w:t>
      </w:r>
      <w:r w:rsidRPr="00140779">
        <w:rPr>
          <w:rFonts w:eastAsia="SimSun"/>
          <w:szCs w:val="22"/>
          <w:lang w:eastAsia="fr-BE"/>
        </w:rPr>
        <w:t>ulceration or other gastrointestinal complications), when celecoxib is</w:t>
      </w:r>
      <w:r w:rsidR="00F116D5" w:rsidRPr="00140779">
        <w:rPr>
          <w:rFonts w:eastAsia="SimSun"/>
          <w:szCs w:val="22"/>
          <w:lang w:eastAsia="fr-BE"/>
        </w:rPr>
        <w:t xml:space="preserve"> </w:t>
      </w:r>
      <w:r w:rsidRPr="00140779">
        <w:rPr>
          <w:rFonts w:eastAsia="SimSun"/>
          <w:szCs w:val="22"/>
          <w:lang w:eastAsia="fr-BE"/>
        </w:rPr>
        <w:t>taken concomitantly with acetylsalicylic acid (even at low doses). A significant</w:t>
      </w:r>
      <w:r w:rsidR="00F116D5" w:rsidRPr="00140779">
        <w:rPr>
          <w:rFonts w:eastAsia="SimSun"/>
          <w:szCs w:val="22"/>
          <w:lang w:eastAsia="fr-BE"/>
        </w:rPr>
        <w:t xml:space="preserve"> </w:t>
      </w:r>
      <w:r w:rsidRPr="00140779">
        <w:rPr>
          <w:rFonts w:eastAsia="SimSun"/>
          <w:szCs w:val="22"/>
          <w:lang w:eastAsia="fr-BE"/>
        </w:rPr>
        <w:t>difference in GI saf</w:t>
      </w:r>
      <w:r w:rsidR="00F116D5" w:rsidRPr="00140779">
        <w:rPr>
          <w:rFonts w:eastAsia="SimSun"/>
          <w:szCs w:val="22"/>
          <w:lang w:eastAsia="fr-BE"/>
        </w:rPr>
        <w:t xml:space="preserve">ety between selective COX- </w:t>
      </w:r>
      <w:r w:rsidRPr="00140779">
        <w:rPr>
          <w:rFonts w:eastAsia="SimSun"/>
          <w:szCs w:val="22"/>
          <w:lang w:eastAsia="fr-BE"/>
        </w:rPr>
        <w:t>inhibitors + acetylsalicylic acid vs.</w:t>
      </w:r>
      <w:r w:rsidR="00F116D5" w:rsidRPr="00140779">
        <w:rPr>
          <w:rFonts w:eastAsia="SimSun"/>
          <w:szCs w:val="22"/>
          <w:lang w:eastAsia="fr-BE"/>
        </w:rPr>
        <w:t xml:space="preserve"> </w:t>
      </w:r>
      <w:r w:rsidRPr="00140779">
        <w:rPr>
          <w:rFonts w:eastAsia="SimSun"/>
          <w:szCs w:val="22"/>
          <w:lang w:eastAsia="fr-BE"/>
        </w:rPr>
        <w:t>NSAIDs + acetylsalicylic acid has not been demonstrated in long-term clinical trials</w:t>
      </w:r>
      <w:r w:rsidR="00F116D5" w:rsidRPr="00140779">
        <w:rPr>
          <w:rFonts w:eastAsia="SimSun"/>
          <w:szCs w:val="22"/>
          <w:lang w:eastAsia="fr-BE"/>
        </w:rPr>
        <w:t xml:space="preserve"> </w:t>
      </w:r>
      <w:r w:rsidRPr="00140779">
        <w:rPr>
          <w:rFonts w:eastAsia="SimSun"/>
          <w:szCs w:val="22"/>
          <w:lang w:eastAsia="fr-BE"/>
        </w:rPr>
        <w:t xml:space="preserve">(see </w:t>
      </w:r>
      <w:r w:rsidR="00302DF7" w:rsidRPr="00180EC2">
        <w:rPr>
          <w:noProof/>
          <w:szCs w:val="22"/>
        </w:rPr>
        <w:t xml:space="preserve">section </w:t>
      </w:r>
      <w:r w:rsidRPr="00140779">
        <w:rPr>
          <w:rFonts w:eastAsia="SimSun"/>
          <w:szCs w:val="22"/>
          <w:lang w:eastAsia="fr-BE"/>
        </w:rPr>
        <w:t>5.1).</w:t>
      </w:r>
    </w:p>
    <w:p w:rsidR="00F116D5" w:rsidRPr="00140779" w:rsidRDefault="00F116D5" w:rsidP="00F05E2A">
      <w:pPr>
        <w:tabs>
          <w:tab w:val="clear" w:pos="567"/>
        </w:tabs>
        <w:autoSpaceDE w:val="0"/>
        <w:autoSpaceDN w:val="0"/>
        <w:adjustRightInd w:val="0"/>
        <w:spacing w:line="240" w:lineRule="auto"/>
        <w:jc w:val="both"/>
        <w:rPr>
          <w:rFonts w:eastAsia="SimSun"/>
          <w:szCs w:val="22"/>
          <w:lang w:eastAsia="fr-BE"/>
        </w:rPr>
      </w:pPr>
    </w:p>
    <w:p w:rsidR="00302DF7" w:rsidRPr="00140779" w:rsidRDefault="00302DF7" w:rsidP="00F05E2A">
      <w:pPr>
        <w:tabs>
          <w:tab w:val="clear" w:pos="567"/>
        </w:tabs>
        <w:autoSpaceDE w:val="0"/>
        <w:autoSpaceDN w:val="0"/>
        <w:adjustRightInd w:val="0"/>
        <w:spacing w:line="240" w:lineRule="auto"/>
        <w:jc w:val="both"/>
        <w:rPr>
          <w:rFonts w:eastAsia="SimSun"/>
          <w:szCs w:val="22"/>
          <w:u w:val="single"/>
          <w:lang w:eastAsia="fr-BE"/>
        </w:rPr>
      </w:pPr>
      <w:r w:rsidRPr="00140779">
        <w:rPr>
          <w:rFonts w:eastAsia="SimSun"/>
          <w:szCs w:val="22"/>
          <w:u w:val="single"/>
          <w:lang w:eastAsia="fr-BE"/>
        </w:rPr>
        <w:lastRenderedPageBreak/>
        <w:t>Concomitant NSAID use</w:t>
      </w:r>
    </w:p>
    <w:p w:rsidR="00302DF7" w:rsidRPr="00140779" w:rsidRDefault="009F7078" w:rsidP="00F05E2A">
      <w:pPr>
        <w:tabs>
          <w:tab w:val="clear" w:pos="567"/>
        </w:tabs>
        <w:autoSpaceDE w:val="0"/>
        <w:autoSpaceDN w:val="0"/>
        <w:adjustRightInd w:val="0"/>
        <w:spacing w:line="240" w:lineRule="auto"/>
        <w:jc w:val="both"/>
        <w:rPr>
          <w:rFonts w:eastAsia="SimSun"/>
          <w:szCs w:val="22"/>
          <w:lang w:eastAsia="fr-BE"/>
        </w:rPr>
      </w:pPr>
      <w:r w:rsidRPr="00140779">
        <w:rPr>
          <w:rFonts w:eastAsia="SimSun"/>
          <w:szCs w:val="22"/>
          <w:lang w:eastAsia="fr-BE"/>
        </w:rPr>
        <w:t>The concomitant use of celecoxib and a non-aspirin NSAID should be avoided.</w:t>
      </w:r>
      <w:r w:rsidR="00F116D5" w:rsidRPr="00140779">
        <w:rPr>
          <w:rFonts w:eastAsia="SimSun"/>
          <w:szCs w:val="22"/>
          <w:lang w:eastAsia="fr-BE"/>
        </w:rPr>
        <w:t xml:space="preserve"> </w:t>
      </w:r>
    </w:p>
    <w:p w:rsidR="00302DF7" w:rsidRPr="00140779" w:rsidRDefault="00302DF7" w:rsidP="00F05E2A">
      <w:pPr>
        <w:tabs>
          <w:tab w:val="clear" w:pos="567"/>
        </w:tabs>
        <w:autoSpaceDE w:val="0"/>
        <w:autoSpaceDN w:val="0"/>
        <w:adjustRightInd w:val="0"/>
        <w:spacing w:line="240" w:lineRule="auto"/>
        <w:jc w:val="both"/>
        <w:rPr>
          <w:rFonts w:eastAsia="SimSun"/>
          <w:szCs w:val="22"/>
          <w:lang w:eastAsia="fr-BE"/>
        </w:rPr>
      </w:pPr>
    </w:p>
    <w:p w:rsidR="00302DF7" w:rsidRPr="00140779" w:rsidRDefault="00302DF7" w:rsidP="00F05E2A">
      <w:pPr>
        <w:tabs>
          <w:tab w:val="clear" w:pos="567"/>
        </w:tabs>
        <w:autoSpaceDE w:val="0"/>
        <w:autoSpaceDN w:val="0"/>
        <w:adjustRightInd w:val="0"/>
        <w:spacing w:line="240" w:lineRule="auto"/>
        <w:jc w:val="both"/>
        <w:rPr>
          <w:rFonts w:eastAsia="SimSun"/>
          <w:szCs w:val="22"/>
          <w:u w:val="single"/>
          <w:lang w:eastAsia="fr-BE"/>
        </w:rPr>
      </w:pPr>
      <w:r w:rsidRPr="00140779">
        <w:rPr>
          <w:rFonts w:eastAsia="SimSun"/>
          <w:szCs w:val="22"/>
          <w:u w:val="single"/>
          <w:lang w:eastAsia="fr-BE"/>
        </w:rPr>
        <w:t>Cardiovascular effects</w:t>
      </w:r>
    </w:p>
    <w:p w:rsidR="009F7078" w:rsidRPr="00140779" w:rsidRDefault="009F7078" w:rsidP="00F05E2A">
      <w:pPr>
        <w:tabs>
          <w:tab w:val="clear" w:pos="567"/>
        </w:tabs>
        <w:autoSpaceDE w:val="0"/>
        <w:autoSpaceDN w:val="0"/>
        <w:adjustRightInd w:val="0"/>
        <w:spacing w:line="240" w:lineRule="auto"/>
        <w:jc w:val="both"/>
        <w:rPr>
          <w:rFonts w:eastAsia="SimSun"/>
          <w:szCs w:val="22"/>
          <w:lang w:eastAsia="fr-BE"/>
        </w:rPr>
      </w:pPr>
      <w:r w:rsidRPr="00140779">
        <w:rPr>
          <w:rFonts w:eastAsia="SimSun"/>
          <w:szCs w:val="22"/>
          <w:lang w:eastAsia="fr-BE"/>
        </w:rPr>
        <w:t>Increased number of serious cardiovascular events, mainly myocardial infarction, has</w:t>
      </w:r>
      <w:r w:rsidR="00F116D5" w:rsidRPr="00140779">
        <w:rPr>
          <w:rFonts w:eastAsia="SimSun"/>
          <w:szCs w:val="22"/>
          <w:lang w:eastAsia="fr-BE"/>
        </w:rPr>
        <w:t xml:space="preserve"> </w:t>
      </w:r>
      <w:r w:rsidRPr="00140779">
        <w:rPr>
          <w:rFonts w:eastAsia="SimSun"/>
          <w:szCs w:val="22"/>
          <w:lang w:eastAsia="fr-BE"/>
        </w:rPr>
        <w:t>been found in a long-term placebo-controlled study in subjects with sporadic</w:t>
      </w:r>
      <w:r w:rsidR="00F116D5" w:rsidRPr="00140779">
        <w:rPr>
          <w:rFonts w:eastAsia="SimSun"/>
          <w:szCs w:val="22"/>
          <w:lang w:eastAsia="fr-BE"/>
        </w:rPr>
        <w:t xml:space="preserve"> </w:t>
      </w:r>
      <w:r w:rsidRPr="00140779">
        <w:rPr>
          <w:rFonts w:eastAsia="SimSun"/>
          <w:szCs w:val="22"/>
          <w:lang w:eastAsia="fr-BE"/>
        </w:rPr>
        <w:t>adenomatous polyps treated with celecoxib at doses of 200mg BID and 400mg BID</w:t>
      </w:r>
    </w:p>
    <w:p w:rsidR="00F116D5" w:rsidRPr="00140779" w:rsidRDefault="009F7078" w:rsidP="00F05E2A">
      <w:pPr>
        <w:tabs>
          <w:tab w:val="clear" w:pos="567"/>
        </w:tabs>
        <w:autoSpaceDE w:val="0"/>
        <w:autoSpaceDN w:val="0"/>
        <w:adjustRightInd w:val="0"/>
        <w:spacing w:line="240" w:lineRule="auto"/>
        <w:jc w:val="both"/>
        <w:rPr>
          <w:rFonts w:eastAsia="SimSun"/>
          <w:szCs w:val="22"/>
          <w:lang w:eastAsia="fr-BE"/>
        </w:rPr>
      </w:pPr>
      <w:r w:rsidRPr="00140779">
        <w:rPr>
          <w:rFonts w:eastAsia="SimSun"/>
          <w:szCs w:val="22"/>
          <w:lang w:eastAsia="fr-BE"/>
        </w:rPr>
        <w:t>compared to placebo (see 5.1).</w:t>
      </w:r>
      <w:r w:rsidR="00F116D5" w:rsidRPr="00140779">
        <w:rPr>
          <w:rFonts w:eastAsia="SimSun"/>
          <w:szCs w:val="22"/>
          <w:lang w:eastAsia="fr-BE"/>
        </w:rPr>
        <w:t xml:space="preserve"> </w:t>
      </w:r>
      <w:r w:rsidRPr="00140779">
        <w:rPr>
          <w:rFonts w:eastAsia="SimSun"/>
          <w:szCs w:val="22"/>
          <w:lang w:eastAsia="fr-BE"/>
        </w:rPr>
        <w:t>As the cardiovascular risks of celecoxib may increase with dose and duration of</w:t>
      </w:r>
      <w:r w:rsidR="00F116D5" w:rsidRPr="00140779">
        <w:rPr>
          <w:rFonts w:eastAsia="SimSun"/>
          <w:szCs w:val="22"/>
          <w:lang w:eastAsia="fr-BE"/>
        </w:rPr>
        <w:t xml:space="preserve"> </w:t>
      </w:r>
      <w:r w:rsidRPr="00140779">
        <w:rPr>
          <w:rFonts w:eastAsia="SimSun"/>
          <w:szCs w:val="22"/>
          <w:lang w:eastAsia="fr-BE"/>
        </w:rPr>
        <w:t>exposure, the shortest duration possible and the lowest effective daily dose should be</w:t>
      </w:r>
      <w:r w:rsidR="00F116D5" w:rsidRPr="00140779">
        <w:rPr>
          <w:rFonts w:eastAsia="SimSun"/>
          <w:szCs w:val="22"/>
          <w:lang w:eastAsia="fr-BE"/>
        </w:rPr>
        <w:t xml:space="preserve"> </w:t>
      </w:r>
      <w:r w:rsidRPr="00140779">
        <w:rPr>
          <w:rFonts w:eastAsia="SimSun"/>
          <w:szCs w:val="22"/>
          <w:lang w:eastAsia="fr-BE"/>
        </w:rPr>
        <w:t xml:space="preserve">used. The patient's need for symptomatic relief and response to therapy should be </w:t>
      </w:r>
      <w:r w:rsidR="002C23CE" w:rsidRPr="00180EC2">
        <w:rPr>
          <w:rFonts w:eastAsia="SimSun"/>
          <w:szCs w:val="22"/>
          <w:lang w:eastAsia="fr-BE"/>
        </w:rPr>
        <w:t>re-evaluated</w:t>
      </w:r>
      <w:r w:rsidR="00F116D5" w:rsidRPr="00140779">
        <w:rPr>
          <w:rFonts w:eastAsia="SimSun"/>
          <w:szCs w:val="22"/>
          <w:lang w:eastAsia="fr-BE"/>
        </w:rPr>
        <w:t xml:space="preserve"> </w:t>
      </w:r>
      <w:r w:rsidRPr="00140779">
        <w:rPr>
          <w:rFonts w:eastAsia="SimSun"/>
          <w:szCs w:val="22"/>
          <w:lang w:eastAsia="fr-BE"/>
        </w:rPr>
        <w:t>periodically, especially in patients with osteoarthritis (</w:t>
      </w:r>
      <w:r w:rsidR="00302DF7" w:rsidRPr="00140779">
        <w:rPr>
          <w:rFonts w:eastAsia="SimSun"/>
          <w:szCs w:val="22"/>
          <w:lang w:eastAsia="fr-BE"/>
        </w:rPr>
        <w:t xml:space="preserve">see </w:t>
      </w:r>
      <w:r w:rsidR="00302DF7" w:rsidRPr="00180EC2">
        <w:rPr>
          <w:noProof/>
          <w:szCs w:val="22"/>
        </w:rPr>
        <w:t xml:space="preserve">section </w:t>
      </w:r>
      <w:r w:rsidRPr="00140779">
        <w:rPr>
          <w:rFonts w:eastAsia="SimSun"/>
          <w:szCs w:val="22"/>
          <w:lang w:eastAsia="fr-BE"/>
        </w:rPr>
        <w:t>4.2, 4.3, 4.8 and 5.1).</w:t>
      </w:r>
    </w:p>
    <w:p w:rsidR="00F116D5" w:rsidRPr="00140779" w:rsidRDefault="00F116D5" w:rsidP="00F05E2A">
      <w:pPr>
        <w:tabs>
          <w:tab w:val="clear" w:pos="567"/>
        </w:tabs>
        <w:autoSpaceDE w:val="0"/>
        <w:autoSpaceDN w:val="0"/>
        <w:adjustRightInd w:val="0"/>
        <w:spacing w:line="240" w:lineRule="auto"/>
        <w:jc w:val="both"/>
        <w:rPr>
          <w:rFonts w:eastAsia="SimSun"/>
          <w:szCs w:val="22"/>
          <w:lang w:eastAsia="fr-BE"/>
        </w:rPr>
      </w:pPr>
    </w:p>
    <w:p w:rsidR="009F7078" w:rsidRPr="00140779" w:rsidRDefault="00F116D5" w:rsidP="00F05E2A">
      <w:pPr>
        <w:tabs>
          <w:tab w:val="clear" w:pos="567"/>
        </w:tabs>
        <w:autoSpaceDE w:val="0"/>
        <w:autoSpaceDN w:val="0"/>
        <w:adjustRightInd w:val="0"/>
        <w:spacing w:line="240" w:lineRule="auto"/>
        <w:jc w:val="both"/>
        <w:rPr>
          <w:rFonts w:eastAsia="SimSun"/>
          <w:szCs w:val="22"/>
          <w:lang w:eastAsia="fr-BE"/>
        </w:rPr>
      </w:pPr>
      <w:r w:rsidRPr="00140779">
        <w:rPr>
          <w:rFonts w:eastAsia="SimSun"/>
          <w:szCs w:val="22"/>
          <w:lang w:eastAsia="fr-BE"/>
        </w:rPr>
        <w:t xml:space="preserve"> </w:t>
      </w:r>
      <w:r w:rsidR="009F7078" w:rsidRPr="00140779">
        <w:rPr>
          <w:rFonts w:eastAsia="SimSun"/>
          <w:szCs w:val="22"/>
          <w:lang w:eastAsia="fr-BE"/>
        </w:rPr>
        <w:t>Patients with significant risk factors for cardiovascular events (e.g. hypertension,</w:t>
      </w:r>
      <w:r w:rsidRPr="00140779">
        <w:rPr>
          <w:rFonts w:eastAsia="SimSun"/>
          <w:szCs w:val="22"/>
          <w:lang w:eastAsia="fr-BE"/>
        </w:rPr>
        <w:t xml:space="preserve"> </w:t>
      </w:r>
      <w:r w:rsidR="009F7078" w:rsidRPr="00140779">
        <w:rPr>
          <w:rFonts w:eastAsia="SimSun"/>
          <w:szCs w:val="22"/>
          <w:lang w:eastAsia="fr-BE"/>
        </w:rPr>
        <w:t>hyperlipidaemia, diabetes mellitus, smoking) should only be treated with celecoxib</w:t>
      </w:r>
      <w:r w:rsidRPr="00140779">
        <w:rPr>
          <w:rFonts w:eastAsia="SimSun"/>
          <w:szCs w:val="22"/>
          <w:lang w:eastAsia="fr-BE"/>
        </w:rPr>
        <w:t xml:space="preserve"> </w:t>
      </w:r>
      <w:r w:rsidR="009F7078" w:rsidRPr="00140779">
        <w:rPr>
          <w:rFonts w:eastAsia="SimSun"/>
          <w:szCs w:val="22"/>
          <w:lang w:eastAsia="fr-BE"/>
        </w:rPr>
        <w:t>afte</w:t>
      </w:r>
      <w:r w:rsidRPr="00140779">
        <w:rPr>
          <w:rFonts w:eastAsia="SimSun"/>
          <w:szCs w:val="22"/>
          <w:lang w:eastAsia="fr-BE"/>
        </w:rPr>
        <w:t xml:space="preserve">r </w:t>
      </w:r>
      <w:r w:rsidR="009F7078" w:rsidRPr="00140779">
        <w:rPr>
          <w:rFonts w:eastAsia="SimSun"/>
          <w:szCs w:val="22"/>
          <w:lang w:eastAsia="fr-BE"/>
        </w:rPr>
        <w:t>careful consideration (see 5.1</w:t>
      </w:r>
      <w:r w:rsidR="002C23CE" w:rsidRPr="00180EC2">
        <w:rPr>
          <w:rFonts w:eastAsia="SimSun"/>
          <w:szCs w:val="22"/>
          <w:lang w:eastAsia="fr-BE"/>
        </w:rPr>
        <w:t>). COX</w:t>
      </w:r>
      <w:r w:rsidR="009F7078" w:rsidRPr="00140779">
        <w:rPr>
          <w:rFonts w:eastAsia="SimSun"/>
          <w:szCs w:val="22"/>
          <w:lang w:eastAsia="fr-BE"/>
        </w:rPr>
        <w:t>-2 selective inhibitors are not a substitute for</w:t>
      </w:r>
      <w:r w:rsidRPr="00140779">
        <w:rPr>
          <w:rFonts w:eastAsia="SimSun"/>
          <w:szCs w:val="22"/>
          <w:lang w:eastAsia="fr-BE"/>
        </w:rPr>
        <w:t xml:space="preserve"> </w:t>
      </w:r>
      <w:r w:rsidR="009F7078" w:rsidRPr="00140779">
        <w:rPr>
          <w:rFonts w:eastAsia="SimSun"/>
          <w:szCs w:val="22"/>
          <w:lang w:eastAsia="fr-BE"/>
        </w:rPr>
        <w:t>acetylsalicylic acid for prophylaxis of cardiovascular thrombo-embolic diseases</w:t>
      </w:r>
      <w:r w:rsidRPr="00140779">
        <w:rPr>
          <w:rFonts w:eastAsia="SimSun"/>
          <w:szCs w:val="22"/>
          <w:lang w:eastAsia="fr-BE"/>
        </w:rPr>
        <w:t xml:space="preserve"> </w:t>
      </w:r>
      <w:r w:rsidR="009F7078" w:rsidRPr="00140779">
        <w:rPr>
          <w:rFonts w:eastAsia="SimSun"/>
          <w:szCs w:val="22"/>
          <w:lang w:eastAsia="fr-BE"/>
        </w:rPr>
        <w:t>because of their lack of antiplatelet effects. Therefore, antiplatelet therapies should</w:t>
      </w:r>
      <w:r w:rsidRPr="00140779">
        <w:rPr>
          <w:rFonts w:eastAsia="SimSun"/>
          <w:szCs w:val="22"/>
          <w:lang w:eastAsia="fr-BE"/>
        </w:rPr>
        <w:t xml:space="preserve"> </w:t>
      </w:r>
      <w:r w:rsidR="009F7078" w:rsidRPr="00140779">
        <w:rPr>
          <w:rFonts w:eastAsia="SimSun"/>
          <w:szCs w:val="22"/>
          <w:lang w:eastAsia="fr-BE"/>
        </w:rPr>
        <w:t>not be discontinued (see section 5.1).</w:t>
      </w:r>
    </w:p>
    <w:p w:rsidR="00F116D5" w:rsidRPr="00140779" w:rsidRDefault="00F116D5" w:rsidP="00F05E2A">
      <w:pPr>
        <w:tabs>
          <w:tab w:val="clear" w:pos="567"/>
        </w:tabs>
        <w:autoSpaceDE w:val="0"/>
        <w:autoSpaceDN w:val="0"/>
        <w:adjustRightInd w:val="0"/>
        <w:spacing w:line="240" w:lineRule="auto"/>
        <w:jc w:val="both"/>
        <w:rPr>
          <w:rFonts w:eastAsia="SimSun"/>
          <w:szCs w:val="22"/>
          <w:u w:val="single"/>
          <w:lang w:eastAsia="fr-BE"/>
        </w:rPr>
      </w:pPr>
    </w:p>
    <w:p w:rsidR="00302DF7" w:rsidRPr="00140779" w:rsidRDefault="00302DF7" w:rsidP="00F05E2A">
      <w:pPr>
        <w:tabs>
          <w:tab w:val="clear" w:pos="567"/>
        </w:tabs>
        <w:autoSpaceDE w:val="0"/>
        <w:autoSpaceDN w:val="0"/>
        <w:adjustRightInd w:val="0"/>
        <w:spacing w:line="240" w:lineRule="auto"/>
        <w:jc w:val="both"/>
        <w:rPr>
          <w:rFonts w:eastAsia="SimSun"/>
          <w:szCs w:val="22"/>
          <w:u w:val="single"/>
          <w:lang w:eastAsia="fr-BE"/>
        </w:rPr>
      </w:pPr>
      <w:r w:rsidRPr="00140779">
        <w:rPr>
          <w:rFonts w:eastAsia="SimSun"/>
          <w:szCs w:val="22"/>
          <w:u w:val="single"/>
          <w:lang w:eastAsia="fr-BE"/>
        </w:rPr>
        <w:t xml:space="preserve">Fluid retention and oedema </w:t>
      </w:r>
    </w:p>
    <w:p w:rsidR="00F116D5" w:rsidRPr="00140779" w:rsidRDefault="009F7078" w:rsidP="00F05E2A">
      <w:pPr>
        <w:tabs>
          <w:tab w:val="clear" w:pos="567"/>
        </w:tabs>
        <w:autoSpaceDE w:val="0"/>
        <w:autoSpaceDN w:val="0"/>
        <w:adjustRightInd w:val="0"/>
        <w:spacing w:line="240" w:lineRule="auto"/>
        <w:jc w:val="both"/>
        <w:rPr>
          <w:rFonts w:eastAsia="SimSun"/>
          <w:szCs w:val="22"/>
          <w:lang w:eastAsia="fr-BE"/>
        </w:rPr>
      </w:pPr>
      <w:r w:rsidRPr="00140779">
        <w:rPr>
          <w:rFonts w:eastAsia="SimSun"/>
          <w:szCs w:val="22"/>
          <w:lang w:eastAsia="fr-BE"/>
        </w:rPr>
        <w:t>As with other drugs known to inhibit prostaglandin synthesis, fluid retention and</w:t>
      </w:r>
      <w:r w:rsidR="00F116D5" w:rsidRPr="00140779">
        <w:rPr>
          <w:rFonts w:eastAsia="SimSun"/>
          <w:szCs w:val="22"/>
          <w:lang w:eastAsia="fr-BE"/>
        </w:rPr>
        <w:t xml:space="preserve"> </w:t>
      </w:r>
      <w:r w:rsidRPr="00140779">
        <w:rPr>
          <w:rFonts w:eastAsia="SimSun"/>
          <w:szCs w:val="22"/>
          <w:lang w:eastAsia="fr-BE"/>
        </w:rPr>
        <w:t>oedema have been observed in patients taking celecoxib. Therefore, celecoxib should</w:t>
      </w:r>
      <w:r w:rsidR="00F116D5" w:rsidRPr="00140779">
        <w:rPr>
          <w:rFonts w:eastAsia="SimSun"/>
          <w:szCs w:val="22"/>
          <w:lang w:eastAsia="fr-BE"/>
        </w:rPr>
        <w:t xml:space="preserve"> </w:t>
      </w:r>
      <w:r w:rsidRPr="00140779">
        <w:rPr>
          <w:rFonts w:eastAsia="SimSun"/>
          <w:szCs w:val="22"/>
          <w:lang w:eastAsia="fr-BE"/>
        </w:rPr>
        <w:t>be used with caution in patients with history of cardiac failure, left ventricular</w:t>
      </w:r>
      <w:r w:rsidR="00F116D5" w:rsidRPr="00140779">
        <w:rPr>
          <w:rFonts w:eastAsia="SimSun"/>
          <w:szCs w:val="22"/>
          <w:lang w:eastAsia="fr-BE"/>
        </w:rPr>
        <w:t xml:space="preserve"> </w:t>
      </w:r>
      <w:r w:rsidRPr="00140779">
        <w:rPr>
          <w:rFonts w:eastAsia="SimSun"/>
          <w:szCs w:val="22"/>
          <w:lang w:eastAsia="fr-BE"/>
        </w:rPr>
        <w:t>dysfunction or hypertension, and in patients with pre-existing oedema from any other</w:t>
      </w:r>
      <w:r w:rsidR="00F116D5" w:rsidRPr="00140779">
        <w:rPr>
          <w:rFonts w:eastAsia="SimSun"/>
          <w:szCs w:val="22"/>
          <w:lang w:eastAsia="fr-BE"/>
        </w:rPr>
        <w:t xml:space="preserve"> </w:t>
      </w:r>
      <w:r w:rsidRPr="00140779">
        <w:rPr>
          <w:rFonts w:eastAsia="SimSun"/>
          <w:szCs w:val="22"/>
          <w:lang w:eastAsia="fr-BE"/>
        </w:rPr>
        <w:t>reason, since prostaglandin inhibition may result in deterioration of renal function and</w:t>
      </w:r>
      <w:r w:rsidR="00F116D5" w:rsidRPr="00140779">
        <w:rPr>
          <w:rFonts w:eastAsia="SimSun"/>
          <w:szCs w:val="22"/>
          <w:lang w:eastAsia="fr-BE"/>
        </w:rPr>
        <w:t xml:space="preserve"> fluid </w:t>
      </w:r>
      <w:r w:rsidRPr="00140779">
        <w:rPr>
          <w:rFonts w:eastAsia="SimSun"/>
          <w:szCs w:val="22"/>
          <w:lang w:eastAsia="fr-BE"/>
        </w:rPr>
        <w:t>retention. Caution is also required in patients taking diuretic treatment or</w:t>
      </w:r>
      <w:r w:rsidR="00F116D5" w:rsidRPr="00140779">
        <w:rPr>
          <w:rFonts w:eastAsia="SimSun"/>
          <w:szCs w:val="22"/>
          <w:lang w:eastAsia="fr-BE"/>
        </w:rPr>
        <w:t xml:space="preserve"> otherwise at risk of </w:t>
      </w:r>
      <w:r w:rsidRPr="00140779">
        <w:rPr>
          <w:rFonts w:eastAsia="SimSun"/>
          <w:szCs w:val="22"/>
          <w:lang w:eastAsia="fr-BE"/>
        </w:rPr>
        <w:t>hypovolaemia.</w:t>
      </w:r>
      <w:r w:rsidR="00F116D5" w:rsidRPr="00140779">
        <w:rPr>
          <w:rFonts w:eastAsia="SimSun"/>
          <w:szCs w:val="22"/>
          <w:lang w:eastAsia="fr-BE"/>
        </w:rPr>
        <w:t xml:space="preserve"> </w:t>
      </w:r>
    </w:p>
    <w:p w:rsidR="00F116D5" w:rsidRPr="00140779" w:rsidRDefault="00F116D5" w:rsidP="00F05E2A">
      <w:pPr>
        <w:tabs>
          <w:tab w:val="clear" w:pos="567"/>
        </w:tabs>
        <w:autoSpaceDE w:val="0"/>
        <w:autoSpaceDN w:val="0"/>
        <w:adjustRightInd w:val="0"/>
        <w:spacing w:line="240" w:lineRule="auto"/>
        <w:jc w:val="both"/>
        <w:rPr>
          <w:rFonts w:eastAsia="SimSun"/>
          <w:szCs w:val="22"/>
          <w:lang w:eastAsia="fr-BE"/>
        </w:rPr>
      </w:pPr>
    </w:p>
    <w:p w:rsidR="00302DF7" w:rsidRPr="00140779" w:rsidRDefault="00302DF7" w:rsidP="00F05E2A">
      <w:pPr>
        <w:tabs>
          <w:tab w:val="clear" w:pos="567"/>
        </w:tabs>
        <w:autoSpaceDE w:val="0"/>
        <w:autoSpaceDN w:val="0"/>
        <w:adjustRightInd w:val="0"/>
        <w:spacing w:line="240" w:lineRule="auto"/>
        <w:jc w:val="both"/>
        <w:rPr>
          <w:rFonts w:eastAsia="SimSun"/>
          <w:szCs w:val="22"/>
          <w:u w:val="single"/>
          <w:lang w:eastAsia="fr-BE"/>
        </w:rPr>
      </w:pPr>
      <w:r w:rsidRPr="00140779">
        <w:rPr>
          <w:rFonts w:eastAsia="SimSun"/>
          <w:szCs w:val="22"/>
          <w:u w:val="single"/>
          <w:lang w:eastAsia="fr-BE"/>
        </w:rPr>
        <w:t>Hypertension</w:t>
      </w:r>
    </w:p>
    <w:p w:rsidR="00F116D5" w:rsidRPr="00140779" w:rsidRDefault="009F7078" w:rsidP="00F05E2A">
      <w:pPr>
        <w:tabs>
          <w:tab w:val="clear" w:pos="567"/>
        </w:tabs>
        <w:autoSpaceDE w:val="0"/>
        <w:autoSpaceDN w:val="0"/>
        <w:adjustRightInd w:val="0"/>
        <w:spacing w:line="240" w:lineRule="auto"/>
        <w:jc w:val="both"/>
        <w:rPr>
          <w:rFonts w:eastAsia="SimSun"/>
          <w:szCs w:val="22"/>
          <w:lang w:eastAsia="fr-BE"/>
        </w:rPr>
      </w:pPr>
      <w:r w:rsidRPr="00140779">
        <w:rPr>
          <w:rFonts w:eastAsia="SimSun"/>
          <w:szCs w:val="22"/>
          <w:lang w:eastAsia="fr-BE"/>
        </w:rPr>
        <w:t>As with all NSAIDS, celecoxib can lead to the onset of new hypertension or</w:t>
      </w:r>
      <w:r w:rsidR="00F116D5" w:rsidRPr="00140779">
        <w:rPr>
          <w:rFonts w:eastAsia="SimSun"/>
          <w:szCs w:val="22"/>
          <w:lang w:eastAsia="fr-BE"/>
        </w:rPr>
        <w:t xml:space="preserve"> </w:t>
      </w:r>
      <w:r w:rsidRPr="00140779">
        <w:rPr>
          <w:rFonts w:eastAsia="SimSun"/>
          <w:szCs w:val="22"/>
          <w:lang w:eastAsia="fr-BE"/>
        </w:rPr>
        <w:t>worsening of pre-existing hypertension, either of which may contribute to the</w:t>
      </w:r>
      <w:r w:rsidR="00F116D5" w:rsidRPr="00140779">
        <w:rPr>
          <w:rFonts w:eastAsia="SimSun"/>
          <w:szCs w:val="22"/>
          <w:lang w:eastAsia="fr-BE"/>
        </w:rPr>
        <w:t xml:space="preserve"> </w:t>
      </w:r>
      <w:r w:rsidRPr="00140779">
        <w:rPr>
          <w:rFonts w:eastAsia="SimSun"/>
          <w:szCs w:val="22"/>
          <w:lang w:eastAsia="fr-BE"/>
        </w:rPr>
        <w:t xml:space="preserve">increased incidence of cardiovascular events. </w:t>
      </w:r>
      <w:r w:rsidR="002C23CE" w:rsidRPr="00180EC2">
        <w:rPr>
          <w:rFonts w:eastAsia="SimSun"/>
          <w:szCs w:val="22"/>
          <w:lang w:eastAsia="fr-BE"/>
        </w:rPr>
        <w:t>Therefore,</w:t>
      </w:r>
      <w:r w:rsidRPr="00140779">
        <w:rPr>
          <w:rFonts w:eastAsia="SimSun"/>
          <w:szCs w:val="22"/>
          <w:lang w:eastAsia="fr-BE"/>
        </w:rPr>
        <w:t xml:space="preserve"> blood pressure should be</w:t>
      </w:r>
      <w:r w:rsidR="00F116D5" w:rsidRPr="00140779">
        <w:rPr>
          <w:rFonts w:eastAsia="SimSun"/>
          <w:szCs w:val="22"/>
          <w:lang w:eastAsia="fr-BE"/>
        </w:rPr>
        <w:t xml:space="preserve"> </w:t>
      </w:r>
      <w:r w:rsidRPr="00140779">
        <w:rPr>
          <w:rFonts w:eastAsia="SimSun"/>
          <w:szCs w:val="22"/>
          <w:lang w:eastAsia="fr-BE"/>
        </w:rPr>
        <w:t>monitored closely during the initi</w:t>
      </w:r>
      <w:r w:rsidR="00F116D5" w:rsidRPr="00140779">
        <w:rPr>
          <w:rFonts w:eastAsia="SimSun"/>
          <w:szCs w:val="22"/>
          <w:lang w:eastAsia="fr-BE"/>
        </w:rPr>
        <w:t xml:space="preserve">ation of therapy with celecoxib </w:t>
      </w:r>
      <w:r w:rsidRPr="00140779">
        <w:rPr>
          <w:rFonts w:eastAsia="SimSun"/>
          <w:szCs w:val="22"/>
          <w:lang w:eastAsia="fr-BE"/>
        </w:rPr>
        <w:t>and throughout the</w:t>
      </w:r>
      <w:r w:rsidR="00F116D5" w:rsidRPr="00140779">
        <w:rPr>
          <w:rFonts w:eastAsia="SimSun"/>
          <w:szCs w:val="22"/>
          <w:lang w:eastAsia="fr-BE"/>
        </w:rPr>
        <w:t xml:space="preserve"> </w:t>
      </w:r>
      <w:r w:rsidRPr="00140779">
        <w:rPr>
          <w:rFonts w:eastAsia="SimSun"/>
          <w:szCs w:val="22"/>
          <w:lang w:eastAsia="fr-BE"/>
        </w:rPr>
        <w:t>course of therapy.</w:t>
      </w:r>
      <w:r w:rsidR="00F116D5" w:rsidRPr="00140779">
        <w:rPr>
          <w:rFonts w:eastAsia="SimSun"/>
          <w:szCs w:val="22"/>
          <w:lang w:eastAsia="fr-BE"/>
        </w:rPr>
        <w:t xml:space="preserve"> </w:t>
      </w:r>
    </w:p>
    <w:p w:rsidR="00F116D5" w:rsidRPr="00140779" w:rsidRDefault="00F116D5" w:rsidP="00F05E2A">
      <w:pPr>
        <w:tabs>
          <w:tab w:val="clear" w:pos="567"/>
        </w:tabs>
        <w:autoSpaceDE w:val="0"/>
        <w:autoSpaceDN w:val="0"/>
        <w:adjustRightInd w:val="0"/>
        <w:spacing w:line="240" w:lineRule="auto"/>
        <w:jc w:val="both"/>
        <w:rPr>
          <w:rFonts w:eastAsia="SimSun"/>
          <w:szCs w:val="22"/>
          <w:lang w:eastAsia="fr-BE"/>
        </w:rPr>
      </w:pPr>
    </w:p>
    <w:p w:rsidR="00302DF7" w:rsidRPr="00140779" w:rsidRDefault="00302DF7" w:rsidP="00F05E2A">
      <w:pPr>
        <w:tabs>
          <w:tab w:val="clear" w:pos="567"/>
        </w:tabs>
        <w:autoSpaceDE w:val="0"/>
        <w:autoSpaceDN w:val="0"/>
        <w:adjustRightInd w:val="0"/>
        <w:spacing w:line="240" w:lineRule="auto"/>
        <w:jc w:val="both"/>
        <w:rPr>
          <w:rFonts w:eastAsia="SimSun"/>
          <w:szCs w:val="22"/>
          <w:u w:val="single"/>
          <w:lang w:eastAsia="fr-BE"/>
        </w:rPr>
      </w:pPr>
      <w:r w:rsidRPr="00140779">
        <w:rPr>
          <w:rFonts w:eastAsia="SimSun"/>
          <w:szCs w:val="22"/>
          <w:u w:val="single"/>
          <w:lang w:eastAsia="fr-BE"/>
        </w:rPr>
        <w:t>Hepatic and renal effects</w:t>
      </w:r>
    </w:p>
    <w:p w:rsidR="00F116D5" w:rsidRPr="00140779" w:rsidRDefault="009F7078" w:rsidP="00F05E2A">
      <w:pPr>
        <w:tabs>
          <w:tab w:val="clear" w:pos="567"/>
        </w:tabs>
        <w:autoSpaceDE w:val="0"/>
        <w:autoSpaceDN w:val="0"/>
        <w:adjustRightInd w:val="0"/>
        <w:spacing w:line="240" w:lineRule="auto"/>
        <w:jc w:val="both"/>
        <w:rPr>
          <w:rFonts w:eastAsia="SimSun"/>
          <w:szCs w:val="22"/>
          <w:lang w:eastAsia="fr-BE"/>
        </w:rPr>
      </w:pPr>
      <w:r w:rsidRPr="00140779">
        <w:rPr>
          <w:rFonts w:eastAsia="SimSun"/>
          <w:szCs w:val="22"/>
          <w:lang w:eastAsia="fr-BE"/>
        </w:rPr>
        <w:t>Compromised renal or hepatic function and especially cardiac dysfunction are more</w:t>
      </w:r>
      <w:r w:rsidR="00F116D5" w:rsidRPr="00140779">
        <w:rPr>
          <w:rFonts w:eastAsia="SimSun"/>
          <w:szCs w:val="22"/>
          <w:lang w:eastAsia="fr-BE"/>
        </w:rPr>
        <w:t xml:space="preserve"> </w:t>
      </w:r>
      <w:r w:rsidRPr="00140779">
        <w:rPr>
          <w:rFonts w:eastAsia="SimSun"/>
          <w:szCs w:val="22"/>
          <w:lang w:eastAsia="fr-BE"/>
        </w:rPr>
        <w:t>likely in the elderly and therefore medically appropriate supervision should be</w:t>
      </w:r>
      <w:r w:rsidR="00F116D5" w:rsidRPr="00140779">
        <w:rPr>
          <w:rFonts w:eastAsia="SimSun"/>
          <w:szCs w:val="22"/>
          <w:lang w:eastAsia="fr-BE"/>
        </w:rPr>
        <w:t xml:space="preserve"> </w:t>
      </w:r>
      <w:r w:rsidRPr="00140779">
        <w:rPr>
          <w:rFonts w:eastAsia="SimSun"/>
          <w:szCs w:val="22"/>
          <w:lang w:eastAsia="fr-BE"/>
        </w:rPr>
        <w:t>maintained.</w:t>
      </w:r>
      <w:r w:rsidR="00F116D5" w:rsidRPr="00140779">
        <w:rPr>
          <w:rFonts w:eastAsia="SimSun"/>
          <w:szCs w:val="22"/>
          <w:lang w:eastAsia="fr-BE"/>
        </w:rPr>
        <w:t xml:space="preserve"> </w:t>
      </w:r>
    </w:p>
    <w:p w:rsidR="00F116D5" w:rsidRPr="00140779" w:rsidRDefault="00F116D5" w:rsidP="00F05E2A">
      <w:pPr>
        <w:tabs>
          <w:tab w:val="clear" w:pos="567"/>
        </w:tabs>
        <w:autoSpaceDE w:val="0"/>
        <w:autoSpaceDN w:val="0"/>
        <w:adjustRightInd w:val="0"/>
        <w:spacing w:line="240" w:lineRule="auto"/>
        <w:jc w:val="both"/>
        <w:rPr>
          <w:rFonts w:eastAsia="SimSun"/>
          <w:szCs w:val="22"/>
          <w:lang w:eastAsia="fr-BE"/>
        </w:rPr>
      </w:pPr>
    </w:p>
    <w:p w:rsidR="00F116D5" w:rsidRPr="00140779" w:rsidRDefault="00F116D5" w:rsidP="00F05E2A">
      <w:pPr>
        <w:tabs>
          <w:tab w:val="clear" w:pos="567"/>
        </w:tabs>
        <w:autoSpaceDE w:val="0"/>
        <w:autoSpaceDN w:val="0"/>
        <w:adjustRightInd w:val="0"/>
        <w:spacing w:line="240" w:lineRule="auto"/>
        <w:jc w:val="both"/>
        <w:rPr>
          <w:rFonts w:eastAsia="SimSun"/>
          <w:szCs w:val="22"/>
          <w:lang w:eastAsia="fr-BE"/>
        </w:rPr>
      </w:pPr>
      <w:r w:rsidRPr="00140779">
        <w:rPr>
          <w:rFonts w:eastAsia="SimSun"/>
          <w:szCs w:val="22"/>
          <w:lang w:eastAsia="fr-BE"/>
        </w:rPr>
        <w:t xml:space="preserve">NSAIDs, </w:t>
      </w:r>
      <w:r w:rsidR="009F7078" w:rsidRPr="00140779">
        <w:rPr>
          <w:rFonts w:eastAsia="SimSun"/>
          <w:szCs w:val="22"/>
          <w:lang w:eastAsia="fr-BE"/>
        </w:rPr>
        <w:t>including celecoxib, may cause renal toxicity. Clinical trials with celecoxib</w:t>
      </w:r>
      <w:r w:rsidRPr="00140779">
        <w:rPr>
          <w:rFonts w:eastAsia="SimSun"/>
          <w:szCs w:val="22"/>
          <w:lang w:eastAsia="fr-BE"/>
        </w:rPr>
        <w:t xml:space="preserve"> </w:t>
      </w:r>
      <w:r w:rsidR="009F7078" w:rsidRPr="00140779">
        <w:rPr>
          <w:rFonts w:eastAsia="SimSun"/>
          <w:szCs w:val="22"/>
          <w:lang w:eastAsia="fr-BE"/>
        </w:rPr>
        <w:t>have shown renal effects similar to those observed with comparator NSAIDs.</w:t>
      </w:r>
      <w:r w:rsidRPr="00140779">
        <w:rPr>
          <w:rFonts w:eastAsia="SimSun"/>
          <w:szCs w:val="22"/>
          <w:lang w:eastAsia="fr-BE"/>
        </w:rPr>
        <w:t xml:space="preserve"> </w:t>
      </w:r>
      <w:r w:rsidR="009F7078" w:rsidRPr="00140779">
        <w:rPr>
          <w:rFonts w:eastAsia="SimSun"/>
          <w:szCs w:val="22"/>
          <w:lang w:eastAsia="fr-BE"/>
        </w:rPr>
        <w:t>Patients at greatest risk for renal toxicity are those with impaired renal function, heart</w:t>
      </w:r>
      <w:r w:rsidRPr="00140779">
        <w:rPr>
          <w:rFonts w:eastAsia="SimSun"/>
          <w:szCs w:val="22"/>
          <w:lang w:eastAsia="fr-BE"/>
        </w:rPr>
        <w:t xml:space="preserve"> </w:t>
      </w:r>
      <w:r w:rsidR="009F7078" w:rsidRPr="00140779">
        <w:rPr>
          <w:rFonts w:eastAsia="SimSun"/>
          <w:szCs w:val="22"/>
          <w:lang w:eastAsia="fr-BE"/>
        </w:rPr>
        <w:t>failure, liver dysfunction, those taking diuretics, ACE-inhibitors, angiotensin II</w:t>
      </w:r>
      <w:r w:rsidRPr="00140779">
        <w:rPr>
          <w:rFonts w:eastAsia="SimSun"/>
          <w:szCs w:val="22"/>
          <w:lang w:eastAsia="fr-BE"/>
        </w:rPr>
        <w:t xml:space="preserve"> </w:t>
      </w:r>
      <w:r w:rsidR="009F7078" w:rsidRPr="00140779">
        <w:rPr>
          <w:rFonts w:eastAsia="SimSun"/>
          <w:szCs w:val="22"/>
          <w:lang w:eastAsia="fr-BE"/>
        </w:rPr>
        <w:t>receptor antagonists, and the elderly (see section 4.5). Such patients should be</w:t>
      </w:r>
      <w:r w:rsidRPr="00140779">
        <w:rPr>
          <w:rFonts w:eastAsia="SimSun"/>
          <w:szCs w:val="22"/>
          <w:lang w:eastAsia="fr-BE"/>
        </w:rPr>
        <w:t xml:space="preserve"> </w:t>
      </w:r>
      <w:r w:rsidR="009F7078" w:rsidRPr="00140779">
        <w:rPr>
          <w:rFonts w:eastAsia="SimSun"/>
          <w:szCs w:val="22"/>
          <w:lang w:eastAsia="fr-BE"/>
        </w:rPr>
        <w:t>carefully monitored while receiving treatment with celecoxib.</w:t>
      </w:r>
      <w:r w:rsidRPr="00140779">
        <w:rPr>
          <w:rFonts w:eastAsia="SimSun"/>
          <w:szCs w:val="22"/>
          <w:lang w:eastAsia="fr-BE"/>
        </w:rPr>
        <w:t xml:space="preserve"> </w:t>
      </w:r>
    </w:p>
    <w:p w:rsidR="00F116D5" w:rsidRPr="00140779" w:rsidRDefault="00F116D5" w:rsidP="00F05E2A">
      <w:pPr>
        <w:tabs>
          <w:tab w:val="clear" w:pos="567"/>
        </w:tabs>
        <w:autoSpaceDE w:val="0"/>
        <w:autoSpaceDN w:val="0"/>
        <w:adjustRightInd w:val="0"/>
        <w:spacing w:line="240" w:lineRule="auto"/>
        <w:jc w:val="both"/>
        <w:rPr>
          <w:rFonts w:eastAsia="SimSun"/>
          <w:szCs w:val="22"/>
          <w:lang w:eastAsia="fr-BE"/>
        </w:rPr>
      </w:pPr>
    </w:p>
    <w:p w:rsidR="009F7078" w:rsidRPr="00140779" w:rsidRDefault="009F7078" w:rsidP="00F05E2A">
      <w:pPr>
        <w:tabs>
          <w:tab w:val="clear" w:pos="567"/>
        </w:tabs>
        <w:autoSpaceDE w:val="0"/>
        <w:autoSpaceDN w:val="0"/>
        <w:adjustRightInd w:val="0"/>
        <w:spacing w:line="240" w:lineRule="auto"/>
        <w:jc w:val="both"/>
        <w:rPr>
          <w:rFonts w:eastAsia="SimSun"/>
          <w:szCs w:val="22"/>
          <w:lang w:eastAsia="fr-BE"/>
        </w:rPr>
      </w:pPr>
      <w:r w:rsidRPr="00140779">
        <w:rPr>
          <w:rFonts w:eastAsia="SimSun"/>
          <w:szCs w:val="22"/>
          <w:lang w:eastAsia="fr-BE"/>
        </w:rPr>
        <w:t>Some cases of severe hepatic reactions, including fulminant hepatitis (some with fatal</w:t>
      </w:r>
      <w:r w:rsidR="00F116D5" w:rsidRPr="00140779">
        <w:rPr>
          <w:rFonts w:eastAsia="SimSun"/>
          <w:szCs w:val="22"/>
          <w:lang w:eastAsia="fr-BE"/>
        </w:rPr>
        <w:t xml:space="preserve"> </w:t>
      </w:r>
      <w:r w:rsidRPr="00140779">
        <w:rPr>
          <w:rFonts w:eastAsia="SimSun"/>
          <w:szCs w:val="22"/>
          <w:lang w:eastAsia="fr-BE"/>
        </w:rPr>
        <w:t>outcome), liver necrosis and, hepatic failure (some with fatal outcome or requiring</w:t>
      </w:r>
      <w:r w:rsidR="00F116D5" w:rsidRPr="00140779">
        <w:rPr>
          <w:rFonts w:eastAsia="SimSun"/>
          <w:szCs w:val="22"/>
          <w:lang w:eastAsia="fr-BE"/>
        </w:rPr>
        <w:t xml:space="preserve"> </w:t>
      </w:r>
      <w:r w:rsidRPr="00140779">
        <w:rPr>
          <w:rFonts w:eastAsia="SimSun"/>
          <w:szCs w:val="22"/>
          <w:lang w:eastAsia="fr-BE"/>
        </w:rPr>
        <w:t>liver transplant), have been reported with celecoxib. Among the cases that reported</w:t>
      </w:r>
      <w:r w:rsidR="00F116D5" w:rsidRPr="00140779">
        <w:rPr>
          <w:rFonts w:eastAsia="SimSun"/>
          <w:szCs w:val="22"/>
          <w:lang w:eastAsia="fr-BE"/>
        </w:rPr>
        <w:t xml:space="preserve"> </w:t>
      </w:r>
      <w:r w:rsidRPr="00140779">
        <w:rPr>
          <w:rFonts w:eastAsia="SimSun"/>
          <w:szCs w:val="22"/>
          <w:lang w:eastAsia="fr-BE"/>
        </w:rPr>
        <w:t>time to onset, most of the severe adverse hepatic events developed within one month</w:t>
      </w:r>
      <w:r w:rsidR="00F116D5" w:rsidRPr="00140779">
        <w:rPr>
          <w:rFonts w:eastAsia="SimSun"/>
          <w:szCs w:val="22"/>
          <w:lang w:eastAsia="fr-BE"/>
        </w:rPr>
        <w:t xml:space="preserve"> </w:t>
      </w:r>
      <w:r w:rsidRPr="00140779">
        <w:rPr>
          <w:rFonts w:eastAsia="SimSun"/>
          <w:szCs w:val="22"/>
          <w:lang w:eastAsia="fr-BE"/>
        </w:rPr>
        <w:t xml:space="preserve">after initiation of celecoxib treatment (see </w:t>
      </w:r>
      <w:r w:rsidR="00302DF7" w:rsidRPr="00180EC2">
        <w:rPr>
          <w:noProof/>
          <w:szCs w:val="22"/>
        </w:rPr>
        <w:t xml:space="preserve">section </w:t>
      </w:r>
      <w:r w:rsidRPr="00140779">
        <w:rPr>
          <w:rFonts w:eastAsia="SimSun"/>
          <w:szCs w:val="22"/>
          <w:lang w:eastAsia="fr-BE"/>
        </w:rPr>
        <w:t>4.8).</w:t>
      </w:r>
    </w:p>
    <w:p w:rsidR="00F116D5" w:rsidRPr="00140779" w:rsidRDefault="00F116D5" w:rsidP="00F05E2A">
      <w:pPr>
        <w:tabs>
          <w:tab w:val="clear" w:pos="567"/>
        </w:tabs>
        <w:autoSpaceDE w:val="0"/>
        <w:autoSpaceDN w:val="0"/>
        <w:adjustRightInd w:val="0"/>
        <w:spacing w:line="240" w:lineRule="auto"/>
        <w:jc w:val="both"/>
        <w:rPr>
          <w:rFonts w:eastAsia="SimSun"/>
          <w:szCs w:val="22"/>
          <w:lang w:eastAsia="fr-BE"/>
        </w:rPr>
      </w:pPr>
    </w:p>
    <w:p w:rsidR="00F116D5" w:rsidRPr="00140779" w:rsidRDefault="00302DF7" w:rsidP="00F05E2A">
      <w:pPr>
        <w:tabs>
          <w:tab w:val="clear" w:pos="567"/>
        </w:tabs>
        <w:autoSpaceDE w:val="0"/>
        <w:autoSpaceDN w:val="0"/>
        <w:adjustRightInd w:val="0"/>
        <w:spacing w:line="240" w:lineRule="auto"/>
        <w:jc w:val="both"/>
        <w:rPr>
          <w:rFonts w:eastAsia="SimSun"/>
          <w:szCs w:val="22"/>
          <w:u w:val="single"/>
          <w:lang w:eastAsia="fr-BE"/>
        </w:rPr>
      </w:pPr>
      <w:r w:rsidRPr="00140779">
        <w:rPr>
          <w:rFonts w:eastAsia="SimSun"/>
          <w:szCs w:val="22"/>
          <w:u w:val="single"/>
          <w:lang w:eastAsia="fr-BE"/>
        </w:rPr>
        <w:t>CYP2D6</w:t>
      </w:r>
      <w:r w:rsidR="00AF3A0E" w:rsidRPr="00140779">
        <w:rPr>
          <w:rFonts w:eastAsia="SimSun"/>
          <w:szCs w:val="22"/>
          <w:u w:val="single"/>
          <w:lang w:eastAsia="fr-BE"/>
        </w:rPr>
        <w:t xml:space="preserve"> inhibition</w:t>
      </w:r>
    </w:p>
    <w:p w:rsidR="00F116D5" w:rsidRPr="00140779" w:rsidRDefault="009F7078" w:rsidP="00F05E2A">
      <w:pPr>
        <w:tabs>
          <w:tab w:val="clear" w:pos="567"/>
        </w:tabs>
        <w:autoSpaceDE w:val="0"/>
        <w:autoSpaceDN w:val="0"/>
        <w:adjustRightInd w:val="0"/>
        <w:spacing w:line="240" w:lineRule="auto"/>
        <w:jc w:val="both"/>
        <w:rPr>
          <w:rFonts w:eastAsia="SimSun"/>
          <w:szCs w:val="22"/>
          <w:lang w:eastAsia="fr-BE"/>
        </w:rPr>
      </w:pPr>
      <w:r w:rsidRPr="00140779">
        <w:rPr>
          <w:rFonts w:eastAsia="SimSun"/>
          <w:szCs w:val="22"/>
          <w:lang w:eastAsia="fr-BE"/>
        </w:rPr>
        <w:t>If during treatment, patients deteriorate in any of the organ system functions</w:t>
      </w:r>
      <w:r w:rsidR="00F116D5" w:rsidRPr="00140779">
        <w:rPr>
          <w:rFonts w:eastAsia="SimSun"/>
          <w:szCs w:val="22"/>
          <w:lang w:eastAsia="fr-BE"/>
        </w:rPr>
        <w:t xml:space="preserve"> </w:t>
      </w:r>
      <w:r w:rsidRPr="00140779">
        <w:rPr>
          <w:rFonts w:eastAsia="SimSun"/>
          <w:szCs w:val="22"/>
          <w:lang w:eastAsia="fr-BE"/>
        </w:rPr>
        <w:t>described above, appropriate measures should be taken and discontinuation of</w:t>
      </w:r>
      <w:r w:rsidR="00F116D5" w:rsidRPr="00140779">
        <w:rPr>
          <w:rFonts w:eastAsia="SimSun"/>
          <w:szCs w:val="22"/>
          <w:lang w:eastAsia="fr-BE"/>
        </w:rPr>
        <w:t xml:space="preserve"> </w:t>
      </w:r>
      <w:r w:rsidRPr="00140779">
        <w:rPr>
          <w:rFonts w:eastAsia="SimSun"/>
          <w:szCs w:val="22"/>
          <w:lang w:eastAsia="fr-BE"/>
        </w:rPr>
        <w:t>celecoxib therapy should be considered.</w:t>
      </w:r>
      <w:r w:rsidR="00F116D5" w:rsidRPr="00140779">
        <w:rPr>
          <w:rFonts w:eastAsia="SimSun"/>
          <w:szCs w:val="22"/>
          <w:lang w:eastAsia="fr-BE"/>
        </w:rPr>
        <w:t xml:space="preserve"> </w:t>
      </w:r>
      <w:r w:rsidRPr="00140779">
        <w:rPr>
          <w:rFonts w:eastAsia="SimSun"/>
          <w:szCs w:val="22"/>
          <w:lang w:eastAsia="fr-BE"/>
        </w:rPr>
        <w:t>Celecoxib inhibits CYP2D6. Although it is not a strong inhibitor of this enzyme, a</w:t>
      </w:r>
      <w:r w:rsidR="00F116D5" w:rsidRPr="00140779">
        <w:rPr>
          <w:rFonts w:eastAsia="SimSun"/>
          <w:szCs w:val="22"/>
          <w:lang w:eastAsia="fr-BE"/>
        </w:rPr>
        <w:t xml:space="preserve"> </w:t>
      </w:r>
      <w:r w:rsidRPr="00140779">
        <w:rPr>
          <w:rFonts w:eastAsia="SimSun"/>
          <w:szCs w:val="22"/>
          <w:lang w:eastAsia="fr-BE"/>
        </w:rPr>
        <w:t>dose reduction may be necessary for individually dose-titrated drugs that are</w:t>
      </w:r>
      <w:r w:rsidR="00F116D5" w:rsidRPr="00140779">
        <w:rPr>
          <w:rFonts w:eastAsia="SimSun"/>
          <w:szCs w:val="22"/>
          <w:lang w:eastAsia="fr-BE"/>
        </w:rPr>
        <w:t xml:space="preserve"> </w:t>
      </w:r>
      <w:r w:rsidRPr="00140779">
        <w:rPr>
          <w:rFonts w:eastAsia="SimSun"/>
          <w:szCs w:val="22"/>
          <w:lang w:eastAsia="fr-BE"/>
        </w:rPr>
        <w:t>metabolised by CYP2D6 (</w:t>
      </w:r>
      <w:r w:rsidR="00302DF7" w:rsidRPr="00140779">
        <w:rPr>
          <w:rFonts w:eastAsia="SimSun"/>
          <w:szCs w:val="22"/>
          <w:lang w:eastAsia="fr-BE"/>
        </w:rPr>
        <w:t xml:space="preserve">see </w:t>
      </w:r>
      <w:r w:rsidR="00302DF7" w:rsidRPr="00180EC2">
        <w:rPr>
          <w:noProof/>
          <w:szCs w:val="22"/>
        </w:rPr>
        <w:t xml:space="preserve">section </w:t>
      </w:r>
      <w:r w:rsidRPr="00140779">
        <w:rPr>
          <w:rFonts w:eastAsia="SimSun"/>
          <w:szCs w:val="22"/>
          <w:lang w:eastAsia="fr-BE"/>
        </w:rPr>
        <w:t>4.5).</w:t>
      </w:r>
      <w:r w:rsidR="00F116D5" w:rsidRPr="00140779">
        <w:rPr>
          <w:rFonts w:eastAsia="SimSun"/>
          <w:szCs w:val="22"/>
          <w:lang w:eastAsia="fr-BE"/>
        </w:rPr>
        <w:t xml:space="preserve"> </w:t>
      </w:r>
    </w:p>
    <w:p w:rsidR="00F116D5" w:rsidRPr="00140779" w:rsidRDefault="00F116D5" w:rsidP="00F05E2A">
      <w:pPr>
        <w:tabs>
          <w:tab w:val="clear" w:pos="567"/>
        </w:tabs>
        <w:autoSpaceDE w:val="0"/>
        <w:autoSpaceDN w:val="0"/>
        <w:adjustRightInd w:val="0"/>
        <w:spacing w:line="240" w:lineRule="auto"/>
        <w:jc w:val="both"/>
        <w:rPr>
          <w:rFonts w:eastAsia="SimSun"/>
          <w:szCs w:val="22"/>
          <w:lang w:eastAsia="fr-BE"/>
        </w:rPr>
      </w:pPr>
    </w:p>
    <w:p w:rsidR="00302DF7" w:rsidRPr="00140779" w:rsidRDefault="00302DF7" w:rsidP="00F05E2A">
      <w:pPr>
        <w:tabs>
          <w:tab w:val="clear" w:pos="567"/>
        </w:tabs>
        <w:autoSpaceDE w:val="0"/>
        <w:autoSpaceDN w:val="0"/>
        <w:adjustRightInd w:val="0"/>
        <w:spacing w:line="240" w:lineRule="auto"/>
        <w:jc w:val="both"/>
        <w:rPr>
          <w:rFonts w:eastAsia="SimSun"/>
          <w:szCs w:val="22"/>
          <w:u w:val="single"/>
          <w:lang w:eastAsia="fr-BE"/>
        </w:rPr>
      </w:pPr>
      <w:r w:rsidRPr="00140779">
        <w:rPr>
          <w:rFonts w:eastAsia="SimSun"/>
          <w:szCs w:val="22"/>
          <w:u w:val="single"/>
          <w:lang w:eastAsia="fr-BE"/>
        </w:rPr>
        <w:t xml:space="preserve">CYP2C9 </w:t>
      </w:r>
      <w:r w:rsidR="00AF3A0E" w:rsidRPr="00140779">
        <w:rPr>
          <w:rFonts w:eastAsia="SimSun"/>
          <w:szCs w:val="22"/>
          <w:u w:val="single"/>
          <w:lang w:eastAsia="fr-BE"/>
        </w:rPr>
        <w:t>poor</w:t>
      </w:r>
      <w:r w:rsidRPr="00140779">
        <w:rPr>
          <w:rFonts w:eastAsia="SimSun"/>
          <w:szCs w:val="22"/>
          <w:u w:val="single"/>
          <w:lang w:eastAsia="fr-BE"/>
        </w:rPr>
        <w:t xml:space="preserve"> metabolisers</w:t>
      </w:r>
    </w:p>
    <w:p w:rsidR="005735BE" w:rsidRPr="00140779" w:rsidRDefault="009F7078" w:rsidP="00F05E2A">
      <w:pPr>
        <w:tabs>
          <w:tab w:val="clear" w:pos="567"/>
        </w:tabs>
        <w:autoSpaceDE w:val="0"/>
        <w:autoSpaceDN w:val="0"/>
        <w:adjustRightInd w:val="0"/>
        <w:spacing w:line="240" w:lineRule="auto"/>
        <w:jc w:val="both"/>
        <w:rPr>
          <w:rFonts w:eastAsia="SimSun"/>
          <w:szCs w:val="22"/>
          <w:lang w:eastAsia="fr-BE"/>
        </w:rPr>
      </w:pPr>
      <w:r w:rsidRPr="00140779">
        <w:rPr>
          <w:rFonts w:eastAsia="SimSun"/>
          <w:szCs w:val="22"/>
          <w:lang w:eastAsia="fr-BE"/>
        </w:rPr>
        <w:t>Patients known to be CYP2C9 poor metabolisers should be treated with caution (see</w:t>
      </w:r>
      <w:r w:rsidR="00302DF7" w:rsidRPr="00140779">
        <w:rPr>
          <w:rFonts w:eastAsia="SimSun"/>
          <w:szCs w:val="22"/>
          <w:lang w:eastAsia="fr-BE"/>
        </w:rPr>
        <w:t xml:space="preserve"> </w:t>
      </w:r>
      <w:r w:rsidR="00302DF7" w:rsidRPr="00180EC2">
        <w:rPr>
          <w:noProof/>
          <w:szCs w:val="22"/>
        </w:rPr>
        <w:t xml:space="preserve">section </w:t>
      </w:r>
      <w:r w:rsidRPr="00140779">
        <w:rPr>
          <w:rFonts w:eastAsia="SimSun"/>
          <w:szCs w:val="22"/>
          <w:lang w:eastAsia="fr-BE"/>
        </w:rPr>
        <w:t>5.2.).</w:t>
      </w:r>
      <w:r w:rsidR="005735BE" w:rsidRPr="00140779">
        <w:rPr>
          <w:rFonts w:eastAsia="SimSun"/>
          <w:szCs w:val="22"/>
          <w:lang w:eastAsia="fr-BE"/>
        </w:rPr>
        <w:t xml:space="preserve"> </w:t>
      </w:r>
    </w:p>
    <w:p w:rsidR="005735BE" w:rsidRPr="00140779" w:rsidRDefault="005735BE" w:rsidP="00F05E2A">
      <w:pPr>
        <w:tabs>
          <w:tab w:val="clear" w:pos="567"/>
        </w:tabs>
        <w:autoSpaceDE w:val="0"/>
        <w:autoSpaceDN w:val="0"/>
        <w:adjustRightInd w:val="0"/>
        <w:spacing w:line="240" w:lineRule="auto"/>
        <w:jc w:val="both"/>
        <w:rPr>
          <w:rFonts w:eastAsia="SimSun"/>
          <w:szCs w:val="22"/>
          <w:lang w:eastAsia="fr-BE"/>
        </w:rPr>
      </w:pPr>
    </w:p>
    <w:p w:rsidR="00302DF7" w:rsidRPr="00140779" w:rsidRDefault="00AF3A0E" w:rsidP="00F05E2A">
      <w:pPr>
        <w:tabs>
          <w:tab w:val="clear" w:pos="567"/>
        </w:tabs>
        <w:autoSpaceDE w:val="0"/>
        <w:autoSpaceDN w:val="0"/>
        <w:adjustRightInd w:val="0"/>
        <w:spacing w:line="240" w:lineRule="auto"/>
        <w:jc w:val="both"/>
        <w:rPr>
          <w:rFonts w:eastAsia="SimSun"/>
          <w:szCs w:val="22"/>
          <w:u w:val="single"/>
          <w:lang w:eastAsia="fr-BE"/>
        </w:rPr>
      </w:pPr>
      <w:r w:rsidRPr="00140779">
        <w:rPr>
          <w:rFonts w:eastAsia="SimSun"/>
          <w:szCs w:val="22"/>
          <w:u w:val="single"/>
          <w:lang w:eastAsia="fr-BE"/>
        </w:rPr>
        <w:t>Skin</w:t>
      </w:r>
      <w:r w:rsidR="00302DF7" w:rsidRPr="00140779">
        <w:rPr>
          <w:rFonts w:eastAsia="SimSun"/>
          <w:szCs w:val="22"/>
          <w:u w:val="single"/>
          <w:lang w:eastAsia="fr-BE"/>
        </w:rPr>
        <w:t xml:space="preserve"> and systemic hypersensitivity</w:t>
      </w:r>
      <w:r w:rsidRPr="00140779">
        <w:rPr>
          <w:rFonts w:eastAsia="SimSun"/>
          <w:szCs w:val="22"/>
          <w:u w:val="single"/>
          <w:lang w:eastAsia="fr-BE"/>
        </w:rPr>
        <w:t xml:space="preserve"> reactions</w:t>
      </w:r>
    </w:p>
    <w:p w:rsidR="009F7078" w:rsidRPr="00140779" w:rsidRDefault="005735BE" w:rsidP="00F05E2A">
      <w:pPr>
        <w:tabs>
          <w:tab w:val="clear" w:pos="567"/>
        </w:tabs>
        <w:autoSpaceDE w:val="0"/>
        <w:autoSpaceDN w:val="0"/>
        <w:adjustRightInd w:val="0"/>
        <w:spacing w:line="240" w:lineRule="auto"/>
        <w:jc w:val="both"/>
        <w:rPr>
          <w:rFonts w:eastAsia="SimSun"/>
          <w:szCs w:val="22"/>
          <w:lang w:eastAsia="fr-BE"/>
        </w:rPr>
      </w:pPr>
      <w:r w:rsidRPr="00140779">
        <w:rPr>
          <w:rFonts w:eastAsia="SimSun"/>
          <w:szCs w:val="22"/>
          <w:lang w:eastAsia="fr-BE"/>
        </w:rPr>
        <w:lastRenderedPageBreak/>
        <w:t xml:space="preserve">Serious skin </w:t>
      </w:r>
      <w:r w:rsidR="009F7078" w:rsidRPr="00140779">
        <w:rPr>
          <w:rFonts w:eastAsia="SimSun"/>
          <w:szCs w:val="22"/>
          <w:lang w:eastAsia="fr-BE"/>
        </w:rPr>
        <w:t>reactions, some of them fatal, including exfoliative dermatitis, Stevens-</w:t>
      </w:r>
      <w:r w:rsidRPr="00140779">
        <w:rPr>
          <w:rFonts w:eastAsia="SimSun"/>
          <w:szCs w:val="22"/>
          <w:lang w:eastAsia="fr-BE"/>
        </w:rPr>
        <w:t xml:space="preserve">Johnson syndrome, and toxic </w:t>
      </w:r>
      <w:r w:rsidR="009F7078" w:rsidRPr="00140779">
        <w:rPr>
          <w:rFonts w:eastAsia="SimSun"/>
          <w:szCs w:val="22"/>
          <w:lang w:eastAsia="fr-BE"/>
        </w:rPr>
        <w:t>epidermal necrolysis, have been reported very rarely in</w:t>
      </w:r>
      <w:r w:rsidRPr="00140779">
        <w:rPr>
          <w:rFonts w:eastAsia="SimSun"/>
          <w:szCs w:val="22"/>
          <w:lang w:eastAsia="fr-BE"/>
        </w:rPr>
        <w:t xml:space="preserve"> </w:t>
      </w:r>
      <w:r w:rsidR="009F7078" w:rsidRPr="00140779">
        <w:rPr>
          <w:rFonts w:eastAsia="SimSun"/>
          <w:szCs w:val="22"/>
          <w:lang w:eastAsia="fr-BE"/>
        </w:rPr>
        <w:t xml:space="preserve">association with the use of celecoxib (see </w:t>
      </w:r>
      <w:r w:rsidR="00AF3A0E" w:rsidRPr="00180EC2">
        <w:rPr>
          <w:noProof/>
          <w:szCs w:val="22"/>
        </w:rPr>
        <w:t xml:space="preserve">section </w:t>
      </w:r>
      <w:r w:rsidR="009F7078" w:rsidRPr="00140779">
        <w:rPr>
          <w:rFonts w:eastAsia="SimSun"/>
          <w:szCs w:val="22"/>
          <w:lang w:eastAsia="fr-BE"/>
        </w:rPr>
        <w:t>4.8). Patients appear to be at highest risk for</w:t>
      </w:r>
      <w:r w:rsidRPr="00140779">
        <w:rPr>
          <w:rFonts w:eastAsia="SimSun"/>
          <w:szCs w:val="22"/>
          <w:lang w:eastAsia="fr-BE"/>
        </w:rPr>
        <w:t xml:space="preserve"> </w:t>
      </w:r>
      <w:r w:rsidR="009F7078" w:rsidRPr="00140779">
        <w:rPr>
          <w:rFonts w:eastAsia="SimSun"/>
          <w:szCs w:val="22"/>
          <w:lang w:eastAsia="fr-BE"/>
        </w:rPr>
        <w:t>these reactions early in the course of therapy: the onset of the reaction occurring in</w:t>
      </w:r>
      <w:r w:rsidRPr="00140779">
        <w:rPr>
          <w:rFonts w:eastAsia="SimSun"/>
          <w:szCs w:val="22"/>
          <w:lang w:eastAsia="fr-BE"/>
        </w:rPr>
        <w:t xml:space="preserve"> </w:t>
      </w:r>
      <w:r w:rsidR="009F7078" w:rsidRPr="00140779">
        <w:rPr>
          <w:rFonts w:eastAsia="SimSun"/>
          <w:szCs w:val="22"/>
          <w:lang w:eastAsia="fr-BE"/>
        </w:rPr>
        <w:t>the majority of cases within the first month of treatment. Serious hypersensitivity</w:t>
      </w:r>
    </w:p>
    <w:p w:rsidR="005735BE" w:rsidRPr="00140779" w:rsidRDefault="009F7078" w:rsidP="00F05E2A">
      <w:pPr>
        <w:tabs>
          <w:tab w:val="clear" w:pos="567"/>
        </w:tabs>
        <w:autoSpaceDE w:val="0"/>
        <w:autoSpaceDN w:val="0"/>
        <w:adjustRightInd w:val="0"/>
        <w:spacing w:line="240" w:lineRule="auto"/>
        <w:jc w:val="both"/>
        <w:rPr>
          <w:rFonts w:eastAsia="SimSun"/>
          <w:szCs w:val="22"/>
          <w:lang w:eastAsia="fr-BE"/>
        </w:rPr>
      </w:pPr>
      <w:r w:rsidRPr="00140779">
        <w:rPr>
          <w:rFonts w:eastAsia="SimSun"/>
          <w:szCs w:val="22"/>
          <w:lang w:eastAsia="fr-BE"/>
        </w:rPr>
        <w:t>reactions (including anaphylaxis, angioedema and drug rash with eosinophilia and</w:t>
      </w:r>
      <w:r w:rsidR="005735BE" w:rsidRPr="00140779">
        <w:rPr>
          <w:rFonts w:eastAsia="SimSun"/>
          <w:szCs w:val="22"/>
          <w:lang w:eastAsia="fr-BE"/>
        </w:rPr>
        <w:t xml:space="preserve"> </w:t>
      </w:r>
      <w:r w:rsidRPr="00140779">
        <w:rPr>
          <w:rFonts w:eastAsia="SimSun"/>
          <w:szCs w:val="22"/>
          <w:lang w:eastAsia="fr-BE"/>
        </w:rPr>
        <w:t>systemic symptoms (DRESS, or hypersensitivity syndrome)) have been reported in</w:t>
      </w:r>
      <w:r w:rsidR="005735BE" w:rsidRPr="00140779">
        <w:rPr>
          <w:rFonts w:eastAsia="SimSun"/>
          <w:szCs w:val="22"/>
          <w:lang w:eastAsia="fr-BE"/>
        </w:rPr>
        <w:t xml:space="preserve"> </w:t>
      </w:r>
      <w:r w:rsidRPr="00140779">
        <w:rPr>
          <w:rFonts w:eastAsia="SimSun"/>
          <w:szCs w:val="22"/>
          <w:lang w:eastAsia="fr-BE"/>
        </w:rPr>
        <w:t xml:space="preserve">patients receiving celecoxib (see </w:t>
      </w:r>
      <w:r w:rsidR="00302DF7" w:rsidRPr="00180EC2">
        <w:rPr>
          <w:noProof/>
          <w:szCs w:val="22"/>
        </w:rPr>
        <w:t xml:space="preserve">section </w:t>
      </w:r>
      <w:r w:rsidRPr="00140779">
        <w:rPr>
          <w:rFonts w:eastAsia="SimSun"/>
          <w:szCs w:val="22"/>
          <w:lang w:eastAsia="fr-BE"/>
        </w:rPr>
        <w:t>4.8). Patients with a history of sulphonamide allergy</w:t>
      </w:r>
      <w:r w:rsidR="005735BE" w:rsidRPr="00140779">
        <w:rPr>
          <w:rFonts w:eastAsia="SimSun"/>
          <w:szCs w:val="22"/>
          <w:lang w:eastAsia="fr-BE"/>
        </w:rPr>
        <w:t xml:space="preserve"> </w:t>
      </w:r>
      <w:r w:rsidRPr="00140779">
        <w:rPr>
          <w:rFonts w:eastAsia="SimSun"/>
          <w:szCs w:val="22"/>
          <w:lang w:eastAsia="fr-BE"/>
        </w:rPr>
        <w:t>or any drug allergy may be at greater risk of serious skin reactions or hypersensitivity</w:t>
      </w:r>
      <w:r w:rsidR="005735BE" w:rsidRPr="00140779">
        <w:rPr>
          <w:rFonts w:eastAsia="SimSun"/>
          <w:szCs w:val="22"/>
          <w:lang w:eastAsia="fr-BE"/>
        </w:rPr>
        <w:t xml:space="preserve"> </w:t>
      </w:r>
      <w:r w:rsidRPr="00140779">
        <w:rPr>
          <w:rFonts w:eastAsia="SimSun"/>
          <w:szCs w:val="22"/>
          <w:lang w:eastAsia="fr-BE"/>
        </w:rPr>
        <w:t xml:space="preserve">reactions (see </w:t>
      </w:r>
      <w:r w:rsidR="00302DF7" w:rsidRPr="00180EC2">
        <w:rPr>
          <w:noProof/>
          <w:szCs w:val="22"/>
        </w:rPr>
        <w:t xml:space="preserve">section </w:t>
      </w:r>
      <w:r w:rsidRPr="00140779">
        <w:rPr>
          <w:rFonts w:eastAsia="SimSun"/>
          <w:szCs w:val="22"/>
          <w:lang w:eastAsia="fr-BE"/>
        </w:rPr>
        <w:t>4.3). Celecoxib should be discontinued at the first appearance of skin</w:t>
      </w:r>
      <w:r w:rsidR="005735BE" w:rsidRPr="00140779">
        <w:rPr>
          <w:rFonts w:eastAsia="SimSun"/>
          <w:szCs w:val="22"/>
          <w:lang w:eastAsia="fr-BE"/>
        </w:rPr>
        <w:t xml:space="preserve"> </w:t>
      </w:r>
      <w:r w:rsidRPr="00140779">
        <w:rPr>
          <w:rFonts w:eastAsia="SimSun"/>
          <w:szCs w:val="22"/>
          <w:lang w:eastAsia="fr-BE"/>
        </w:rPr>
        <w:t>rash, mucosal lesions, or any other sign of hypersensitivity.</w:t>
      </w:r>
      <w:r w:rsidR="005735BE" w:rsidRPr="00140779">
        <w:rPr>
          <w:rFonts w:eastAsia="SimSun"/>
          <w:szCs w:val="22"/>
          <w:lang w:eastAsia="fr-BE"/>
        </w:rPr>
        <w:t xml:space="preserve"> </w:t>
      </w:r>
    </w:p>
    <w:p w:rsidR="00302DF7" w:rsidRPr="00140779" w:rsidRDefault="00302DF7" w:rsidP="00F05E2A">
      <w:pPr>
        <w:tabs>
          <w:tab w:val="clear" w:pos="567"/>
        </w:tabs>
        <w:autoSpaceDE w:val="0"/>
        <w:autoSpaceDN w:val="0"/>
        <w:adjustRightInd w:val="0"/>
        <w:spacing w:line="240" w:lineRule="auto"/>
        <w:jc w:val="both"/>
        <w:rPr>
          <w:rFonts w:eastAsia="SimSun"/>
          <w:szCs w:val="22"/>
          <w:lang w:eastAsia="fr-BE"/>
        </w:rPr>
      </w:pPr>
    </w:p>
    <w:p w:rsidR="00302DF7" w:rsidRPr="00140779" w:rsidRDefault="00302DF7" w:rsidP="00F05E2A">
      <w:pPr>
        <w:tabs>
          <w:tab w:val="clear" w:pos="567"/>
        </w:tabs>
        <w:autoSpaceDE w:val="0"/>
        <w:autoSpaceDN w:val="0"/>
        <w:adjustRightInd w:val="0"/>
        <w:spacing w:line="240" w:lineRule="auto"/>
        <w:jc w:val="both"/>
        <w:rPr>
          <w:rFonts w:eastAsia="SimSun"/>
          <w:b/>
          <w:szCs w:val="22"/>
          <w:u w:val="single"/>
          <w:lang w:eastAsia="fr-BE"/>
        </w:rPr>
      </w:pPr>
      <w:r w:rsidRPr="00140779">
        <w:rPr>
          <w:rFonts w:eastAsia="SimSun"/>
          <w:szCs w:val="22"/>
          <w:u w:val="single"/>
          <w:lang w:eastAsia="fr-BE"/>
        </w:rPr>
        <w:t>General</w:t>
      </w:r>
    </w:p>
    <w:p w:rsidR="005735BE" w:rsidRPr="00140779" w:rsidRDefault="009F7078" w:rsidP="00F05E2A">
      <w:pPr>
        <w:tabs>
          <w:tab w:val="clear" w:pos="567"/>
        </w:tabs>
        <w:autoSpaceDE w:val="0"/>
        <w:autoSpaceDN w:val="0"/>
        <w:adjustRightInd w:val="0"/>
        <w:spacing w:line="240" w:lineRule="auto"/>
        <w:jc w:val="both"/>
        <w:rPr>
          <w:rFonts w:eastAsia="SimSun"/>
          <w:szCs w:val="22"/>
          <w:lang w:eastAsia="fr-BE"/>
        </w:rPr>
      </w:pPr>
      <w:r w:rsidRPr="00140779">
        <w:rPr>
          <w:rFonts w:eastAsia="SimSun"/>
          <w:szCs w:val="22"/>
          <w:lang w:eastAsia="fr-BE"/>
        </w:rPr>
        <w:t>Celecoxib may mask fever and other signs of inflammation.</w:t>
      </w:r>
      <w:r w:rsidR="005735BE" w:rsidRPr="00140779">
        <w:rPr>
          <w:rFonts w:eastAsia="SimSun"/>
          <w:szCs w:val="22"/>
          <w:lang w:eastAsia="fr-BE"/>
        </w:rPr>
        <w:t xml:space="preserve"> </w:t>
      </w:r>
    </w:p>
    <w:p w:rsidR="005735BE" w:rsidRPr="00140779" w:rsidRDefault="005735BE" w:rsidP="00F05E2A">
      <w:pPr>
        <w:tabs>
          <w:tab w:val="clear" w:pos="567"/>
        </w:tabs>
        <w:autoSpaceDE w:val="0"/>
        <w:autoSpaceDN w:val="0"/>
        <w:adjustRightInd w:val="0"/>
        <w:spacing w:line="240" w:lineRule="auto"/>
        <w:jc w:val="both"/>
        <w:rPr>
          <w:rFonts w:eastAsia="SimSun"/>
          <w:szCs w:val="22"/>
          <w:u w:val="single"/>
          <w:lang w:eastAsia="fr-BE"/>
        </w:rPr>
      </w:pPr>
    </w:p>
    <w:p w:rsidR="00302DF7" w:rsidRPr="00140779" w:rsidRDefault="00302DF7" w:rsidP="00F05E2A">
      <w:pPr>
        <w:tabs>
          <w:tab w:val="clear" w:pos="567"/>
        </w:tabs>
        <w:autoSpaceDE w:val="0"/>
        <w:autoSpaceDN w:val="0"/>
        <w:adjustRightInd w:val="0"/>
        <w:spacing w:line="240" w:lineRule="auto"/>
        <w:jc w:val="both"/>
        <w:rPr>
          <w:rFonts w:eastAsia="SimSun"/>
          <w:szCs w:val="22"/>
          <w:u w:val="single"/>
          <w:lang w:eastAsia="fr-BE"/>
        </w:rPr>
      </w:pPr>
      <w:r w:rsidRPr="00140779">
        <w:rPr>
          <w:rFonts w:eastAsia="SimSun"/>
          <w:szCs w:val="22"/>
          <w:u w:val="single"/>
          <w:lang w:eastAsia="fr-BE"/>
        </w:rPr>
        <w:t>Use with oral anticoagulants</w:t>
      </w:r>
    </w:p>
    <w:p w:rsidR="00812D16" w:rsidRPr="00140779" w:rsidRDefault="009F7078" w:rsidP="004B24FF">
      <w:pPr>
        <w:tabs>
          <w:tab w:val="clear" w:pos="567"/>
        </w:tabs>
        <w:autoSpaceDE w:val="0"/>
        <w:autoSpaceDN w:val="0"/>
        <w:adjustRightInd w:val="0"/>
        <w:spacing w:line="240" w:lineRule="auto"/>
        <w:jc w:val="both"/>
        <w:rPr>
          <w:rFonts w:eastAsia="SimSun"/>
          <w:szCs w:val="22"/>
          <w:lang w:eastAsia="fr-BE"/>
        </w:rPr>
      </w:pPr>
      <w:r w:rsidRPr="00140779">
        <w:rPr>
          <w:rFonts w:eastAsia="SimSun"/>
          <w:szCs w:val="22"/>
          <w:lang w:eastAsia="fr-BE"/>
        </w:rPr>
        <w:t>In patients on concurrent therapy with warfarin, serious bleeding events</w:t>
      </w:r>
      <w:r w:rsidR="00AF3A0E" w:rsidRPr="00140779">
        <w:rPr>
          <w:rFonts w:eastAsia="SimSun"/>
          <w:szCs w:val="22"/>
          <w:lang w:eastAsia="fr-BE"/>
        </w:rPr>
        <w:t>, some of them fatal,</w:t>
      </w:r>
      <w:r w:rsidRPr="00140779">
        <w:rPr>
          <w:rFonts w:eastAsia="SimSun"/>
          <w:szCs w:val="22"/>
          <w:lang w:eastAsia="fr-BE"/>
        </w:rPr>
        <w:t xml:space="preserve"> have</w:t>
      </w:r>
      <w:r w:rsidR="005735BE" w:rsidRPr="00140779">
        <w:rPr>
          <w:rFonts w:eastAsia="SimSun"/>
          <w:szCs w:val="22"/>
          <w:lang w:eastAsia="fr-BE"/>
        </w:rPr>
        <w:t xml:space="preserve"> </w:t>
      </w:r>
      <w:r w:rsidR="00AF3A0E" w:rsidRPr="00140779">
        <w:rPr>
          <w:rFonts w:eastAsia="SimSun"/>
          <w:szCs w:val="22"/>
          <w:lang w:eastAsia="fr-BE"/>
        </w:rPr>
        <w:t>been reported</w:t>
      </w:r>
      <w:r w:rsidRPr="00140779">
        <w:rPr>
          <w:rFonts w:eastAsia="SimSun"/>
          <w:szCs w:val="22"/>
          <w:lang w:eastAsia="fr-BE"/>
        </w:rPr>
        <w:t>.</w:t>
      </w:r>
      <w:r w:rsidR="00AF3A0E" w:rsidRPr="00140779">
        <w:rPr>
          <w:rFonts w:eastAsia="SimSun"/>
          <w:szCs w:val="22"/>
          <w:lang w:eastAsia="fr-BE"/>
        </w:rPr>
        <w:t xml:space="preserve"> Increased prothrombin time (INR) with concurrent therapy has been reported. Therefore, this should be closely monitored in patients receiving warfarin/coumarin-type oral anticoagulant, particularly when therapy with celecoxib is initiated or celecoxib dose is changed (see section 4.5). Concomitant use of anticoagulants with NSAIDs may increase the risk of </w:t>
      </w:r>
      <w:r w:rsidR="002C23CE" w:rsidRPr="00180EC2">
        <w:rPr>
          <w:rFonts w:eastAsia="SimSun"/>
          <w:szCs w:val="22"/>
          <w:lang w:eastAsia="fr-BE"/>
        </w:rPr>
        <w:t>bleeding. Caution</w:t>
      </w:r>
      <w:r w:rsidRPr="00140779">
        <w:rPr>
          <w:rFonts w:eastAsia="SimSun"/>
          <w:szCs w:val="22"/>
          <w:lang w:eastAsia="fr-BE"/>
        </w:rPr>
        <w:t xml:space="preserve"> should be exercised when combining celecoxib with warfarin and other oral</w:t>
      </w:r>
      <w:r w:rsidR="005735BE" w:rsidRPr="00140779">
        <w:rPr>
          <w:rFonts w:eastAsia="SimSun"/>
          <w:szCs w:val="22"/>
          <w:lang w:eastAsia="fr-BE"/>
        </w:rPr>
        <w:t xml:space="preserve"> </w:t>
      </w:r>
      <w:r w:rsidRPr="00140779">
        <w:rPr>
          <w:rFonts w:eastAsia="SimSun"/>
          <w:szCs w:val="22"/>
          <w:lang w:eastAsia="fr-BE"/>
        </w:rPr>
        <w:t>anticoagulants</w:t>
      </w:r>
      <w:r w:rsidR="00AF3A0E" w:rsidRPr="00140779">
        <w:rPr>
          <w:rFonts w:eastAsia="SimSun"/>
          <w:szCs w:val="22"/>
          <w:lang w:eastAsia="fr-BE"/>
        </w:rPr>
        <w:t>, including novel anticoagulants (e.g. apixaban, dagibatran, and rivaroxaban).</w:t>
      </w:r>
    </w:p>
    <w:p w:rsidR="00066D58" w:rsidRPr="00140779" w:rsidRDefault="00066D58" w:rsidP="004B24FF">
      <w:pPr>
        <w:tabs>
          <w:tab w:val="clear" w:pos="567"/>
        </w:tabs>
        <w:autoSpaceDE w:val="0"/>
        <w:autoSpaceDN w:val="0"/>
        <w:adjustRightInd w:val="0"/>
        <w:spacing w:line="240" w:lineRule="auto"/>
        <w:jc w:val="both"/>
        <w:rPr>
          <w:rFonts w:eastAsia="SimSun"/>
          <w:szCs w:val="22"/>
          <w:lang w:eastAsia="fr-BE"/>
        </w:rPr>
      </w:pPr>
    </w:p>
    <w:p w:rsidR="00812D16" w:rsidRPr="00180EC2" w:rsidRDefault="00812D16" w:rsidP="00F05E2A">
      <w:pPr>
        <w:ind w:left="567" w:hanging="567"/>
        <w:jc w:val="both"/>
        <w:outlineLvl w:val="0"/>
        <w:rPr>
          <w:noProof/>
          <w:szCs w:val="22"/>
        </w:rPr>
      </w:pPr>
      <w:r w:rsidRPr="00180EC2">
        <w:rPr>
          <w:b/>
          <w:noProof/>
          <w:szCs w:val="22"/>
        </w:rPr>
        <w:t>4.5</w:t>
      </w:r>
      <w:r w:rsidRPr="00180EC2">
        <w:rPr>
          <w:b/>
          <w:noProof/>
          <w:szCs w:val="22"/>
        </w:rPr>
        <w:tab/>
        <w:t>Interaction with other medicinal products and other forms of interaction</w:t>
      </w:r>
    </w:p>
    <w:p w:rsidR="00812D16" w:rsidRPr="00180EC2" w:rsidRDefault="00812D16" w:rsidP="00F05E2A">
      <w:pPr>
        <w:jc w:val="both"/>
        <w:rPr>
          <w:noProof/>
          <w:szCs w:val="22"/>
        </w:rPr>
      </w:pPr>
    </w:p>
    <w:p w:rsidR="005735BE" w:rsidRPr="00140779" w:rsidRDefault="005735BE" w:rsidP="00F05E2A">
      <w:pPr>
        <w:tabs>
          <w:tab w:val="clear" w:pos="567"/>
        </w:tabs>
        <w:autoSpaceDE w:val="0"/>
        <w:autoSpaceDN w:val="0"/>
        <w:adjustRightInd w:val="0"/>
        <w:spacing w:line="240" w:lineRule="auto"/>
        <w:jc w:val="both"/>
        <w:rPr>
          <w:rFonts w:eastAsia="SimSun"/>
          <w:i/>
          <w:iCs/>
          <w:szCs w:val="22"/>
          <w:lang w:eastAsia="fr-BE"/>
        </w:rPr>
      </w:pPr>
      <w:r w:rsidRPr="00140779">
        <w:rPr>
          <w:rFonts w:eastAsia="SimSun"/>
          <w:i/>
          <w:iCs/>
          <w:szCs w:val="22"/>
          <w:lang w:eastAsia="fr-BE"/>
        </w:rPr>
        <w:t>Pharmacodynamic interactions</w:t>
      </w:r>
    </w:p>
    <w:p w:rsidR="00AF3A0E" w:rsidRPr="00140779" w:rsidRDefault="00AF3A0E" w:rsidP="00F05E2A">
      <w:pPr>
        <w:tabs>
          <w:tab w:val="clear" w:pos="567"/>
        </w:tabs>
        <w:autoSpaceDE w:val="0"/>
        <w:autoSpaceDN w:val="0"/>
        <w:adjustRightInd w:val="0"/>
        <w:spacing w:line="240" w:lineRule="auto"/>
        <w:jc w:val="both"/>
        <w:rPr>
          <w:rFonts w:eastAsia="SimSun"/>
          <w:i/>
          <w:szCs w:val="22"/>
          <w:u w:val="single"/>
          <w:lang w:eastAsia="fr-BE"/>
        </w:rPr>
      </w:pPr>
      <w:r w:rsidRPr="00140779">
        <w:rPr>
          <w:rFonts w:eastAsia="SimSun"/>
          <w:i/>
          <w:szCs w:val="22"/>
          <w:u w:val="single"/>
          <w:lang w:eastAsia="fr-BE"/>
        </w:rPr>
        <w:t>Anticoagulants</w:t>
      </w:r>
    </w:p>
    <w:p w:rsidR="005735BE" w:rsidRPr="00140779" w:rsidRDefault="005735BE" w:rsidP="00F05E2A">
      <w:pPr>
        <w:tabs>
          <w:tab w:val="clear" w:pos="567"/>
        </w:tabs>
        <w:autoSpaceDE w:val="0"/>
        <w:autoSpaceDN w:val="0"/>
        <w:adjustRightInd w:val="0"/>
        <w:spacing w:line="240" w:lineRule="auto"/>
        <w:jc w:val="both"/>
        <w:rPr>
          <w:rFonts w:eastAsia="SimSun"/>
          <w:szCs w:val="22"/>
          <w:lang w:eastAsia="fr-BE"/>
        </w:rPr>
      </w:pPr>
      <w:r w:rsidRPr="00140779">
        <w:rPr>
          <w:rFonts w:eastAsia="SimSun"/>
          <w:szCs w:val="22"/>
          <w:lang w:eastAsia="fr-BE"/>
        </w:rPr>
        <w:t>Anticoagulant activity should be monitored particularly in the first few days after initiating or changing the dose of celecoxib in patients receiving warfarin or other anticoagulants since these patients have an increased risk of bleeding complications. Therefore, patients receiving oral anticoagulants should be closely monitored for their prothrombin time INR, particularly in the first few days when therapy with celecoxib is initiated or the dose of celecoxib is changed. (see 4.4). Bleeding events in association with increases in prothrombin time have been reported, predominantly in the elderly, in patients receiving celecoxib concurrently with warfarin, some of them fatal.</w:t>
      </w:r>
    </w:p>
    <w:p w:rsidR="005735BE" w:rsidRPr="00140779" w:rsidRDefault="005735BE" w:rsidP="00F05E2A">
      <w:pPr>
        <w:tabs>
          <w:tab w:val="clear" w:pos="567"/>
        </w:tabs>
        <w:autoSpaceDE w:val="0"/>
        <w:autoSpaceDN w:val="0"/>
        <w:adjustRightInd w:val="0"/>
        <w:spacing w:line="240" w:lineRule="auto"/>
        <w:jc w:val="both"/>
        <w:rPr>
          <w:rFonts w:eastAsia="SimSun"/>
          <w:szCs w:val="22"/>
          <w:lang w:eastAsia="fr-BE"/>
        </w:rPr>
      </w:pPr>
    </w:p>
    <w:p w:rsidR="00AF3A0E" w:rsidRPr="00140779" w:rsidRDefault="00AF3A0E" w:rsidP="00F05E2A">
      <w:pPr>
        <w:tabs>
          <w:tab w:val="clear" w:pos="567"/>
        </w:tabs>
        <w:autoSpaceDE w:val="0"/>
        <w:autoSpaceDN w:val="0"/>
        <w:adjustRightInd w:val="0"/>
        <w:spacing w:line="240" w:lineRule="auto"/>
        <w:jc w:val="both"/>
        <w:rPr>
          <w:rFonts w:eastAsia="SimSun"/>
          <w:i/>
          <w:szCs w:val="22"/>
          <w:u w:val="single"/>
          <w:lang w:eastAsia="fr-BE"/>
        </w:rPr>
      </w:pPr>
      <w:r w:rsidRPr="00140779">
        <w:rPr>
          <w:rFonts w:eastAsia="SimSun"/>
          <w:i/>
          <w:szCs w:val="22"/>
          <w:u w:val="single"/>
          <w:lang w:eastAsia="fr-BE"/>
        </w:rPr>
        <w:t>Antihypetensives</w:t>
      </w:r>
    </w:p>
    <w:p w:rsidR="005735BE" w:rsidRPr="00140779" w:rsidRDefault="005735BE" w:rsidP="00F05E2A">
      <w:pPr>
        <w:tabs>
          <w:tab w:val="clear" w:pos="567"/>
        </w:tabs>
        <w:autoSpaceDE w:val="0"/>
        <w:autoSpaceDN w:val="0"/>
        <w:adjustRightInd w:val="0"/>
        <w:spacing w:line="240" w:lineRule="auto"/>
        <w:jc w:val="both"/>
        <w:rPr>
          <w:rFonts w:eastAsia="SimSun"/>
          <w:szCs w:val="22"/>
          <w:lang w:eastAsia="fr-BE"/>
        </w:rPr>
      </w:pPr>
      <w:r w:rsidRPr="00140779">
        <w:rPr>
          <w:rFonts w:eastAsia="SimSun"/>
          <w:szCs w:val="22"/>
          <w:lang w:eastAsia="fr-BE"/>
        </w:rPr>
        <w:t>NSAIDs may reduce the effect of diuretics and antihypertensive medicinal products. As for NSAIDs, the risk of acute renal insufficiency, which is usually reversible, may be increased in some patients with compromised renal function (e.g. dehydrated patients, patients on diuretics, or elderly patients) when ACE inhibitors or angiotensin II receptor antagonists are combined with NSAIDs, including celecoxib (see section</w:t>
      </w:r>
    </w:p>
    <w:p w:rsidR="005735BE" w:rsidRPr="00140779" w:rsidRDefault="005735BE" w:rsidP="00F05E2A">
      <w:pPr>
        <w:tabs>
          <w:tab w:val="clear" w:pos="567"/>
        </w:tabs>
        <w:autoSpaceDE w:val="0"/>
        <w:autoSpaceDN w:val="0"/>
        <w:adjustRightInd w:val="0"/>
        <w:spacing w:line="240" w:lineRule="auto"/>
        <w:jc w:val="both"/>
        <w:rPr>
          <w:rFonts w:eastAsia="SimSun"/>
          <w:szCs w:val="22"/>
          <w:lang w:eastAsia="fr-BE"/>
        </w:rPr>
      </w:pPr>
      <w:r w:rsidRPr="00140779">
        <w:rPr>
          <w:rFonts w:eastAsia="SimSun"/>
          <w:szCs w:val="22"/>
          <w:lang w:eastAsia="fr-BE"/>
        </w:rPr>
        <w:t>4.4). Therefore, the combination should be administered with caution, especially in the elderly. Patients should be adequately hydrated and consideration should be given to monitoring of renal function after initiation of concomitant therapy, and periodically thereafter.</w:t>
      </w:r>
    </w:p>
    <w:p w:rsidR="005735BE" w:rsidRPr="00140779" w:rsidRDefault="005735BE" w:rsidP="00F05E2A">
      <w:pPr>
        <w:tabs>
          <w:tab w:val="clear" w:pos="567"/>
        </w:tabs>
        <w:autoSpaceDE w:val="0"/>
        <w:autoSpaceDN w:val="0"/>
        <w:adjustRightInd w:val="0"/>
        <w:spacing w:line="240" w:lineRule="auto"/>
        <w:jc w:val="both"/>
        <w:rPr>
          <w:rFonts w:eastAsia="SimSun"/>
          <w:szCs w:val="22"/>
          <w:lang w:eastAsia="fr-BE"/>
        </w:rPr>
      </w:pPr>
    </w:p>
    <w:p w:rsidR="005735BE" w:rsidRPr="00140779" w:rsidRDefault="005735BE" w:rsidP="00F05E2A">
      <w:pPr>
        <w:tabs>
          <w:tab w:val="clear" w:pos="567"/>
        </w:tabs>
        <w:autoSpaceDE w:val="0"/>
        <w:autoSpaceDN w:val="0"/>
        <w:adjustRightInd w:val="0"/>
        <w:spacing w:line="240" w:lineRule="auto"/>
        <w:jc w:val="both"/>
        <w:rPr>
          <w:rFonts w:eastAsia="SimSun"/>
          <w:sz w:val="24"/>
          <w:szCs w:val="24"/>
          <w:lang w:eastAsia="fr-BE"/>
        </w:rPr>
      </w:pPr>
      <w:r w:rsidRPr="00140779">
        <w:rPr>
          <w:rFonts w:eastAsia="SimSun"/>
          <w:sz w:val="24"/>
          <w:szCs w:val="24"/>
          <w:lang w:eastAsia="fr-BE"/>
        </w:rPr>
        <w:t>In a 28-day clinical study in patients with lisinopril-controlled Stage I and II hypertension, administration of celecoxib 200 mg BID resulted in no clinically significant increases, when compared to placebo treatment, in mean daily systolic or diastolic blood pressure as determined using 24-hour ambulatory blood pressure monitoring. Among patients treated with celecoxib</w:t>
      </w:r>
    </w:p>
    <w:p w:rsidR="005735BE" w:rsidRPr="00140779" w:rsidRDefault="005735BE" w:rsidP="00F05E2A">
      <w:pPr>
        <w:tabs>
          <w:tab w:val="clear" w:pos="567"/>
        </w:tabs>
        <w:autoSpaceDE w:val="0"/>
        <w:autoSpaceDN w:val="0"/>
        <w:adjustRightInd w:val="0"/>
        <w:spacing w:line="240" w:lineRule="auto"/>
        <w:jc w:val="both"/>
        <w:rPr>
          <w:rFonts w:eastAsia="SimSun"/>
          <w:sz w:val="24"/>
          <w:szCs w:val="24"/>
          <w:lang w:eastAsia="fr-BE"/>
        </w:rPr>
      </w:pPr>
      <w:r w:rsidRPr="00140779">
        <w:rPr>
          <w:rFonts w:eastAsia="SimSun"/>
          <w:sz w:val="24"/>
          <w:szCs w:val="24"/>
          <w:lang w:eastAsia="fr-BE"/>
        </w:rPr>
        <w:t>200 mg BID, 48% were considered unresponsive to lisinopril at the final clinic visit (defined as either cuff diastolic blood pressure &gt;90 mmHg or cuff diastolic blood pressure increased &gt;10% compared to baseline), compared to 27% of patients treated with placebo; this difference was statistically significant.</w:t>
      </w:r>
    </w:p>
    <w:p w:rsidR="005735BE" w:rsidRPr="00140779" w:rsidRDefault="005735BE" w:rsidP="00F05E2A">
      <w:pPr>
        <w:tabs>
          <w:tab w:val="clear" w:pos="567"/>
        </w:tabs>
        <w:autoSpaceDE w:val="0"/>
        <w:autoSpaceDN w:val="0"/>
        <w:adjustRightInd w:val="0"/>
        <w:spacing w:line="240" w:lineRule="auto"/>
        <w:jc w:val="both"/>
        <w:rPr>
          <w:rFonts w:eastAsia="SimSun"/>
          <w:sz w:val="24"/>
          <w:szCs w:val="24"/>
          <w:lang w:eastAsia="fr-BE"/>
        </w:rPr>
      </w:pPr>
    </w:p>
    <w:p w:rsidR="00AF3A0E" w:rsidRPr="00140779" w:rsidRDefault="00AF3A0E" w:rsidP="00F05E2A">
      <w:pPr>
        <w:tabs>
          <w:tab w:val="clear" w:pos="567"/>
        </w:tabs>
        <w:autoSpaceDE w:val="0"/>
        <w:autoSpaceDN w:val="0"/>
        <w:adjustRightInd w:val="0"/>
        <w:spacing w:line="240" w:lineRule="auto"/>
        <w:jc w:val="both"/>
        <w:rPr>
          <w:rFonts w:eastAsia="SimSun"/>
          <w:i/>
          <w:sz w:val="24"/>
          <w:szCs w:val="24"/>
          <w:u w:val="single"/>
          <w:lang w:eastAsia="fr-BE"/>
        </w:rPr>
      </w:pPr>
      <w:r w:rsidRPr="00140779">
        <w:rPr>
          <w:rFonts w:eastAsia="SimSun"/>
          <w:i/>
          <w:sz w:val="24"/>
          <w:szCs w:val="24"/>
          <w:u w:val="single"/>
          <w:lang w:eastAsia="fr-BE"/>
        </w:rPr>
        <w:t>Ciclosporin and Tacrolimus</w:t>
      </w:r>
    </w:p>
    <w:p w:rsidR="00AF3A0E" w:rsidRPr="00140779" w:rsidRDefault="005735BE" w:rsidP="00F05E2A">
      <w:pPr>
        <w:tabs>
          <w:tab w:val="clear" w:pos="567"/>
        </w:tabs>
        <w:autoSpaceDE w:val="0"/>
        <w:autoSpaceDN w:val="0"/>
        <w:adjustRightInd w:val="0"/>
        <w:spacing w:line="240" w:lineRule="auto"/>
        <w:jc w:val="both"/>
        <w:rPr>
          <w:rFonts w:eastAsia="SimSun"/>
          <w:szCs w:val="22"/>
          <w:lang w:eastAsia="fr-BE"/>
        </w:rPr>
      </w:pPr>
      <w:r w:rsidRPr="00140779">
        <w:rPr>
          <w:rFonts w:eastAsia="SimSun"/>
          <w:szCs w:val="22"/>
          <w:lang w:eastAsia="fr-BE"/>
        </w:rPr>
        <w:t xml:space="preserve">Co-administration of NSAIDs and ciclosporin or tacrolimus have been suggested to increase the nephrotoxic effect of ciclosporin and tacrolimus. Renal function should be monitored when celecoxib and any of these drugs are combined. </w:t>
      </w:r>
    </w:p>
    <w:p w:rsidR="00AF3A0E" w:rsidRPr="00140779" w:rsidRDefault="00AF3A0E" w:rsidP="00F05E2A">
      <w:pPr>
        <w:tabs>
          <w:tab w:val="clear" w:pos="567"/>
        </w:tabs>
        <w:autoSpaceDE w:val="0"/>
        <w:autoSpaceDN w:val="0"/>
        <w:adjustRightInd w:val="0"/>
        <w:spacing w:line="240" w:lineRule="auto"/>
        <w:jc w:val="both"/>
        <w:rPr>
          <w:rFonts w:eastAsia="SimSun"/>
          <w:szCs w:val="22"/>
          <w:lang w:eastAsia="fr-BE"/>
        </w:rPr>
      </w:pPr>
    </w:p>
    <w:p w:rsidR="00AF3A0E" w:rsidRPr="00140779" w:rsidRDefault="00AF3A0E" w:rsidP="00F05E2A">
      <w:pPr>
        <w:tabs>
          <w:tab w:val="clear" w:pos="567"/>
        </w:tabs>
        <w:autoSpaceDE w:val="0"/>
        <w:autoSpaceDN w:val="0"/>
        <w:adjustRightInd w:val="0"/>
        <w:spacing w:line="240" w:lineRule="auto"/>
        <w:jc w:val="both"/>
        <w:rPr>
          <w:rFonts w:eastAsia="SimSun"/>
          <w:i/>
          <w:szCs w:val="22"/>
          <w:u w:val="single"/>
          <w:lang w:eastAsia="fr-BE"/>
        </w:rPr>
      </w:pPr>
      <w:r w:rsidRPr="00140779">
        <w:rPr>
          <w:rFonts w:eastAsia="SimSun"/>
          <w:i/>
          <w:szCs w:val="22"/>
          <w:u w:val="single"/>
          <w:lang w:eastAsia="fr-BE"/>
        </w:rPr>
        <w:t>Acetylsalicylic acid</w:t>
      </w:r>
    </w:p>
    <w:p w:rsidR="005735BE" w:rsidRPr="00140779" w:rsidRDefault="005735BE" w:rsidP="00F05E2A">
      <w:pPr>
        <w:tabs>
          <w:tab w:val="clear" w:pos="567"/>
        </w:tabs>
        <w:autoSpaceDE w:val="0"/>
        <w:autoSpaceDN w:val="0"/>
        <w:adjustRightInd w:val="0"/>
        <w:spacing w:line="240" w:lineRule="auto"/>
        <w:jc w:val="both"/>
        <w:rPr>
          <w:rFonts w:eastAsia="SimSun"/>
          <w:szCs w:val="22"/>
          <w:lang w:eastAsia="fr-BE"/>
        </w:rPr>
      </w:pPr>
      <w:r w:rsidRPr="00140779">
        <w:rPr>
          <w:rFonts w:eastAsia="SimSun"/>
          <w:szCs w:val="22"/>
          <w:lang w:eastAsia="fr-BE"/>
        </w:rPr>
        <w:t>Celecoxib can be used with low dose acetylsalicylic acid but is not a substitute for</w:t>
      </w:r>
    </w:p>
    <w:p w:rsidR="005735BE" w:rsidRPr="00140779" w:rsidRDefault="005735BE" w:rsidP="00F05E2A">
      <w:pPr>
        <w:tabs>
          <w:tab w:val="clear" w:pos="567"/>
        </w:tabs>
        <w:autoSpaceDE w:val="0"/>
        <w:autoSpaceDN w:val="0"/>
        <w:adjustRightInd w:val="0"/>
        <w:spacing w:line="240" w:lineRule="auto"/>
        <w:jc w:val="both"/>
        <w:rPr>
          <w:rFonts w:eastAsia="SimSun"/>
          <w:szCs w:val="22"/>
          <w:lang w:eastAsia="fr-BE"/>
        </w:rPr>
      </w:pPr>
      <w:r w:rsidRPr="00140779">
        <w:rPr>
          <w:rFonts w:eastAsia="SimSun"/>
          <w:szCs w:val="22"/>
          <w:lang w:eastAsia="fr-BE"/>
        </w:rPr>
        <w:t>acetylsalicylic acid for cardiovascular prophylaxis. In the submitted studies, as with other NSAIDs, an increased risk of gastrointestinal ulceration or other gastrointestinal complications compared to use of celecoxib alone was shown for concomitant administration of low-dose acetylsalicylic acid (see 5.1).</w:t>
      </w:r>
    </w:p>
    <w:p w:rsidR="005735BE" w:rsidRPr="00140779" w:rsidRDefault="005735BE" w:rsidP="00F05E2A">
      <w:pPr>
        <w:tabs>
          <w:tab w:val="clear" w:pos="567"/>
        </w:tabs>
        <w:autoSpaceDE w:val="0"/>
        <w:autoSpaceDN w:val="0"/>
        <w:adjustRightInd w:val="0"/>
        <w:spacing w:line="240" w:lineRule="auto"/>
        <w:jc w:val="both"/>
        <w:rPr>
          <w:rFonts w:eastAsia="SimSun"/>
          <w:szCs w:val="22"/>
          <w:lang w:eastAsia="fr-BE"/>
        </w:rPr>
      </w:pPr>
    </w:p>
    <w:p w:rsidR="005735BE" w:rsidRPr="00140779" w:rsidRDefault="005735BE" w:rsidP="00F05E2A">
      <w:pPr>
        <w:tabs>
          <w:tab w:val="clear" w:pos="567"/>
        </w:tabs>
        <w:autoSpaceDE w:val="0"/>
        <w:autoSpaceDN w:val="0"/>
        <w:adjustRightInd w:val="0"/>
        <w:spacing w:line="240" w:lineRule="auto"/>
        <w:jc w:val="both"/>
        <w:rPr>
          <w:rFonts w:eastAsia="SimSun"/>
          <w:i/>
          <w:iCs/>
          <w:szCs w:val="22"/>
          <w:lang w:eastAsia="fr-BE"/>
        </w:rPr>
      </w:pPr>
      <w:r w:rsidRPr="00140779">
        <w:rPr>
          <w:rFonts w:eastAsia="SimSun"/>
          <w:i/>
          <w:iCs/>
          <w:szCs w:val="22"/>
          <w:lang w:eastAsia="fr-BE"/>
        </w:rPr>
        <w:t>Pharmacokinetic interactions</w:t>
      </w:r>
    </w:p>
    <w:p w:rsidR="00AF3A0E" w:rsidRPr="00140779" w:rsidRDefault="005735BE" w:rsidP="00F05E2A">
      <w:pPr>
        <w:tabs>
          <w:tab w:val="clear" w:pos="567"/>
        </w:tabs>
        <w:autoSpaceDE w:val="0"/>
        <w:autoSpaceDN w:val="0"/>
        <w:adjustRightInd w:val="0"/>
        <w:spacing w:line="240" w:lineRule="auto"/>
        <w:jc w:val="both"/>
        <w:rPr>
          <w:rFonts w:eastAsia="SimSun"/>
          <w:i/>
          <w:iCs/>
          <w:szCs w:val="22"/>
          <w:lang w:eastAsia="fr-BE"/>
        </w:rPr>
      </w:pPr>
      <w:r w:rsidRPr="00140779">
        <w:rPr>
          <w:rFonts w:eastAsia="SimSun"/>
          <w:i/>
          <w:iCs/>
          <w:szCs w:val="22"/>
          <w:lang w:eastAsia="fr-BE"/>
        </w:rPr>
        <w:t xml:space="preserve">Effects of celecoxib on other drugs </w:t>
      </w:r>
    </w:p>
    <w:p w:rsidR="00AF3A0E" w:rsidRPr="00140779" w:rsidRDefault="00AF3A0E" w:rsidP="00F05E2A">
      <w:pPr>
        <w:tabs>
          <w:tab w:val="clear" w:pos="567"/>
        </w:tabs>
        <w:autoSpaceDE w:val="0"/>
        <w:autoSpaceDN w:val="0"/>
        <w:adjustRightInd w:val="0"/>
        <w:spacing w:line="240" w:lineRule="auto"/>
        <w:jc w:val="both"/>
        <w:rPr>
          <w:rFonts w:eastAsia="SimSun"/>
          <w:i/>
          <w:iCs/>
          <w:szCs w:val="22"/>
          <w:u w:val="single"/>
          <w:lang w:eastAsia="fr-BE"/>
        </w:rPr>
      </w:pPr>
      <w:r w:rsidRPr="00140779">
        <w:rPr>
          <w:rFonts w:eastAsia="SimSun"/>
          <w:i/>
          <w:iCs/>
          <w:szCs w:val="22"/>
          <w:u w:val="single"/>
          <w:lang w:eastAsia="fr-BE"/>
        </w:rPr>
        <w:t>CYP2D6 inhibition</w:t>
      </w:r>
    </w:p>
    <w:p w:rsidR="005735BE" w:rsidRPr="00140779" w:rsidRDefault="005735BE" w:rsidP="00F05E2A">
      <w:pPr>
        <w:tabs>
          <w:tab w:val="clear" w:pos="567"/>
        </w:tabs>
        <w:autoSpaceDE w:val="0"/>
        <w:autoSpaceDN w:val="0"/>
        <w:adjustRightInd w:val="0"/>
        <w:spacing w:line="240" w:lineRule="auto"/>
        <w:jc w:val="both"/>
        <w:rPr>
          <w:rFonts w:eastAsia="SimSun"/>
          <w:szCs w:val="22"/>
          <w:lang w:eastAsia="fr-BE"/>
        </w:rPr>
      </w:pPr>
      <w:r w:rsidRPr="00140779">
        <w:rPr>
          <w:rFonts w:eastAsia="SimSun"/>
          <w:szCs w:val="22"/>
          <w:lang w:eastAsia="fr-BE"/>
        </w:rPr>
        <w:t xml:space="preserve">Celecoxib is an inhibitor of CYP2D6. </w:t>
      </w:r>
      <w:r w:rsidR="00AF3A0E" w:rsidRPr="00140779">
        <w:rPr>
          <w:rFonts w:eastAsia="SimSun"/>
          <w:szCs w:val="22"/>
          <w:lang w:eastAsia="fr-BE"/>
        </w:rPr>
        <w:t xml:space="preserve">The plasma concentrations of drugs that are substrates of this enzyme may be increased when celecoxib is used concomitantly. Examples of drugs which are metabolized by CYP2D6 are antidepressants (tricyclics and SSRIs), </w:t>
      </w:r>
      <w:r w:rsidRPr="00140779">
        <w:rPr>
          <w:rFonts w:eastAsia="SimSun"/>
          <w:szCs w:val="22"/>
          <w:lang w:eastAsia="fr-BE"/>
        </w:rPr>
        <w:t>neuroleptics,</w:t>
      </w:r>
      <w:r w:rsidRPr="00140779">
        <w:rPr>
          <w:rFonts w:eastAsia="SimSun"/>
          <w:i/>
          <w:iCs/>
          <w:szCs w:val="22"/>
          <w:lang w:eastAsia="fr-BE"/>
        </w:rPr>
        <w:t xml:space="preserve"> </w:t>
      </w:r>
      <w:r w:rsidRPr="00140779">
        <w:rPr>
          <w:rFonts w:eastAsia="SimSun"/>
          <w:szCs w:val="22"/>
          <w:lang w:eastAsia="fr-BE"/>
        </w:rPr>
        <w:t xml:space="preserve">anti-arrhythmic drugs, etc. The dose of individually dose-titrated CYP2D6 </w:t>
      </w:r>
      <w:r w:rsidR="002C23CE" w:rsidRPr="00180EC2">
        <w:rPr>
          <w:rFonts w:eastAsia="SimSun"/>
          <w:szCs w:val="22"/>
          <w:lang w:eastAsia="fr-BE"/>
        </w:rPr>
        <w:t>substrates may</w:t>
      </w:r>
      <w:r w:rsidRPr="00140779">
        <w:rPr>
          <w:rFonts w:eastAsia="SimSun"/>
          <w:szCs w:val="22"/>
          <w:lang w:eastAsia="fr-BE"/>
        </w:rPr>
        <w:t xml:space="preserve"> need to be reduced when treatment with celecoxib is initiated or increased if treatment with celecoxib is terminated.</w:t>
      </w:r>
    </w:p>
    <w:p w:rsidR="00AF3A0E" w:rsidRPr="00140779" w:rsidRDefault="00AF3A0E" w:rsidP="00F05E2A">
      <w:pPr>
        <w:tabs>
          <w:tab w:val="clear" w:pos="567"/>
        </w:tabs>
        <w:autoSpaceDE w:val="0"/>
        <w:autoSpaceDN w:val="0"/>
        <w:adjustRightInd w:val="0"/>
        <w:spacing w:line="240" w:lineRule="auto"/>
        <w:jc w:val="both"/>
        <w:rPr>
          <w:rFonts w:eastAsia="SimSun"/>
          <w:szCs w:val="22"/>
          <w:lang w:eastAsia="fr-BE"/>
        </w:rPr>
      </w:pPr>
      <w:r w:rsidRPr="00140779">
        <w:rPr>
          <w:rFonts w:eastAsia="SimSun"/>
          <w:szCs w:val="22"/>
          <w:lang w:eastAsia="fr-BE"/>
        </w:rPr>
        <w:t>Concomitant administration of celecoxib 200 mg twice daily resulted in 2.6-fold and 1.5-fold increases in plasma concentration of dextromethorphan and metoprolol (CYP2D6 substrates), respectively. These increases are due to celecoxib CYP2D6 inhibition of the CYP2D6 substrate metabolism.</w:t>
      </w:r>
    </w:p>
    <w:p w:rsidR="00AF3A0E" w:rsidRPr="00140779" w:rsidRDefault="00AF3A0E" w:rsidP="00F05E2A">
      <w:pPr>
        <w:tabs>
          <w:tab w:val="clear" w:pos="567"/>
        </w:tabs>
        <w:autoSpaceDE w:val="0"/>
        <w:autoSpaceDN w:val="0"/>
        <w:adjustRightInd w:val="0"/>
        <w:spacing w:line="240" w:lineRule="auto"/>
        <w:jc w:val="both"/>
        <w:rPr>
          <w:rFonts w:eastAsia="SimSun"/>
          <w:szCs w:val="22"/>
          <w:lang w:eastAsia="fr-BE"/>
        </w:rPr>
      </w:pPr>
    </w:p>
    <w:p w:rsidR="00AF3A0E" w:rsidRPr="00140779" w:rsidRDefault="00AF3A0E" w:rsidP="00F05E2A">
      <w:pPr>
        <w:tabs>
          <w:tab w:val="clear" w:pos="567"/>
        </w:tabs>
        <w:autoSpaceDE w:val="0"/>
        <w:autoSpaceDN w:val="0"/>
        <w:adjustRightInd w:val="0"/>
        <w:spacing w:line="240" w:lineRule="auto"/>
        <w:jc w:val="both"/>
        <w:rPr>
          <w:rFonts w:eastAsia="SimSun"/>
          <w:szCs w:val="22"/>
          <w:lang w:eastAsia="fr-BE"/>
        </w:rPr>
      </w:pPr>
      <w:r w:rsidRPr="00140779">
        <w:rPr>
          <w:rFonts w:eastAsia="SimSun"/>
          <w:szCs w:val="22"/>
          <w:lang w:eastAsia="fr-BE"/>
        </w:rPr>
        <w:t>CYP2C19 inhibition</w:t>
      </w:r>
    </w:p>
    <w:p w:rsidR="005735BE" w:rsidRPr="00140779" w:rsidRDefault="005735BE" w:rsidP="00F05E2A">
      <w:pPr>
        <w:tabs>
          <w:tab w:val="clear" w:pos="567"/>
        </w:tabs>
        <w:autoSpaceDE w:val="0"/>
        <w:autoSpaceDN w:val="0"/>
        <w:adjustRightInd w:val="0"/>
        <w:spacing w:line="240" w:lineRule="auto"/>
        <w:jc w:val="both"/>
        <w:rPr>
          <w:rFonts w:eastAsia="SimSun"/>
          <w:szCs w:val="22"/>
          <w:lang w:eastAsia="fr-BE"/>
        </w:rPr>
      </w:pPr>
      <w:r w:rsidRPr="00140779">
        <w:rPr>
          <w:rFonts w:eastAsia="SimSun"/>
          <w:i/>
          <w:iCs/>
          <w:szCs w:val="22"/>
          <w:lang w:eastAsia="fr-BE"/>
        </w:rPr>
        <w:t xml:space="preserve">In vitro </w:t>
      </w:r>
      <w:r w:rsidRPr="00140779">
        <w:rPr>
          <w:rFonts w:eastAsia="SimSun"/>
          <w:szCs w:val="22"/>
          <w:lang w:eastAsia="fr-BE"/>
        </w:rPr>
        <w:t>studies have shown some potential for celecoxib to inhibit CYP2C19 catalysed metabolism. The clinical significance of this in vitro finding is unknown. Examples of drugs which are metabolised by CYP2C19 are diazepam, citalopram and imipramine.</w:t>
      </w:r>
    </w:p>
    <w:p w:rsidR="005735BE" w:rsidRPr="00140779" w:rsidRDefault="005735BE" w:rsidP="00F05E2A">
      <w:pPr>
        <w:tabs>
          <w:tab w:val="clear" w:pos="567"/>
        </w:tabs>
        <w:autoSpaceDE w:val="0"/>
        <w:autoSpaceDN w:val="0"/>
        <w:adjustRightInd w:val="0"/>
        <w:spacing w:line="240" w:lineRule="auto"/>
        <w:jc w:val="both"/>
        <w:rPr>
          <w:rFonts w:eastAsia="SimSun"/>
          <w:szCs w:val="22"/>
          <w:lang w:eastAsia="fr-BE"/>
        </w:rPr>
      </w:pPr>
    </w:p>
    <w:p w:rsidR="00A01405" w:rsidRPr="00140779" w:rsidRDefault="00A01405" w:rsidP="00F05E2A">
      <w:pPr>
        <w:tabs>
          <w:tab w:val="clear" w:pos="567"/>
        </w:tabs>
        <w:autoSpaceDE w:val="0"/>
        <w:autoSpaceDN w:val="0"/>
        <w:adjustRightInd w:val="0"/>
        <w:spacing w:line="240" w:lineRule="auto"/>
        <w:jc w:val="both"/>
        <w:rPr>
          <w:rFonts w:eastAsia="SimSun"/>
          <w:i/>
          <w:szCs w:val="22"/>
          <w:u w:val="single"/>
          <w:lang w:eastAsia="fr-BE"/>
        </w:rPr>
      </w:pPr>
      <w:r w:rsidRPr="00140779">
        <w:rPr>
          <w:rFonts w:eastAsia="SimSun"/>
          <w:i/>
          <w:szCs w:val="22"/>
          <w:u w:val="single"/>
          <w:lang w:eastAsia="fr-BE"/>
        </w:rPr>
        <w:t>Methotrexate</w:t>
      </w:r>
    </w:p>
    <w:p w:rsidR="005735BE" w:rsidRPr="00140779" w:rsidRDefault="005735BE" w:rsidP="00F05E2A">
      <w:pPr>
        <w:tabs>
          <w:tab w:val="clear" w:pos="567"/>
        </w:tabs>
        <w:autoSpaceDE w:val="0"/>
        <w:autoSpaceDN w:val="0"/>
        <w:adjustRightInd w:val="0"/>
        <w:spacing w:line="240" w:lineRule="auto"/>
        <w:jc w:val="both"/>
        <w:rPr>
          <w:rFonts w:eastAsia="SimSun"/>
          <w:szCs w:val="22"/>
          <w:lang w:eastAsia="fr-BE"/>
        </w:rPr>
      </w:pPr>
    </w:p>
    <w:p w:rsidR="005735BE" w:rsidRPr="00140779" w:rsidRDefault="005735BE" w:rsidP="00F05E2A">
      <w:pPr>
        <w:tabs>
          <w:tab w:val="clear" w:pos="567"/>
        </w:tabs>
        <w:autoSpaceDE w:val="0"/>
        <w:autoSpaceDN w:val="0"/>
        <w:adjustRightInd w:val="0"/>
        <w:spacing w:line="240" w:lineRule="auto"/>
        <w:jc w:val="both"/>
        <w:rPr>
          <w:rFonts w:eastAsia="SimSun"/>
          <w:szCs w:val="22"/>
          <w:lang w:eastAsia="fr-BE"/>
        </w:rPr>
      </w:pPr>
    </w:p>
    <w:p w:rsidR="005735BE" w:rsidRPr="00140779" w:rsidRDefault="005735BE" w:rsidP="00F05E2A">
      <w:pPr>
        <w:tabs>
          <w:tab w:val="clear" w:pos="567"/>
        </w:tabs>
        <w:autoSpaceDE w:val="0"/>
        <w:autoSpaceDN w:val="0"/>
        <w:adjustRightInd w:val="0"/>
        <w:spacing w:line="240" w:lineRule="auto"/>
        <w:jc w:val="both"/>
        <w:rPr>
          <w:rFonts w:eastAsia="SimSun"/>
          <w:szCs w:val="22"/>
          <w:lang w:eastAsia="fr-BE"/>
        </w:rPr>
      </w:pPr>
      <w:r w:rsidRPr="00140779">
        <w:rPr>
          <w:rFonts w:eastAsia="SimSun"/>
          <w:szCs w:val="22"/>
          <w:lang w:eastAsia="fr-BE"/>
        </w:rPr>
        <w:t>In patients with rheumatoid arthritis celecoxib had no statistically significant effect on the pharmacokinetics (plasma or renal clearance) of methotrexate (in rheumatologic doses). However, adequate monitoring for methotrexate-related toxicity should be considered when combining these two drugs.</w:t>
      </w:r>
    </w:p>
    <w:p w:rsidR="005735BE" w:rsidRPr="00140779" w:rsidRDefault="005735BE" w:rsidP="00F05E2A">
      <w:pPr>
        <w:tabs>
          <w:tab w:val="clear" w:pos="567"/>
        </w:tabs>
        <w:autoSpaceDE w:val="0"/>
        <w:autoSpaceDN w:val="0"/>
        <w:adjustRightInd w:val="0"/>
        <w:spacing w:line="240" w:lineRule="auto"/>
        <w:jc w:val="both"/>
        <w:rPr>
          <w:rFonts w:eastAsia="SimSun"/>
          <w:szCs w:val="22"/>
          <w:lang w:eastAsia="fr-BE"/>
        </w:rPr>
      </w:pPr>
    </w:p>
    <w:p w:rsidR="00A01405" w:rsidRPr="00140779" w:rsidRDefault="00A01405" w:rsidP="00F05E2A">
      <w:pPr>
        <w:tabs>
          <w:tab w:val="clear" w:pos="567"/>
        </w:tabs>
        <w:autoSpaceDE w:val="0"/>
        <w:autoSpaceDN w:val="0"/>
        <w:adjustRightInd w:val="0"/>
        <w:spacing w:line="240" w:lineRule="auto"/>
        <w:jc w:val="both"/>
        <w:rPr>
          <w:rFonts w:eastAsia="SimSun"/>
          <w:i/>
          <w:szCs w:val="22"/>
          <w:u w:val="single"/>
          <w:lang w:eastAsia="fr-BE"/>
        </w:rPr>
      </w:pPr>
      <w:r w:rsidRPr="00140779">
        <w:rPr>
          <w:rFonts w:eastAsia="SimSun"/>
          <w:i/>
          <w:szCs w:val="22"/>
          <w:u w:val="single"/>
          <w:lang w:eastAsia="fr-BE"/>
        </w:rPr>
        <w:t>Lithium</w:t>
      </w:r>
    </w:p>
    <w:p w:rsidR="005735BE" w:rsidRPr="00140779" w:rsidRDefault="005735BE" w:rsidP="00F05E2A">
      <w:pPr>
        <w:tabs>
          <w:tab w:val="clear" w:pos="567"/>
        </w:tabs>
        <w:autoSpaceDE w:val="0"/>
        <w:autoSpaceDN w:val="0"/>
        <w:adjustRightInd w:val="0"/>
        <w:spacing w:line="240" w:lineRule="auto"/>
        <w:jc w:val="both"/>
        <w:rPr>
          <w:rFonts w:eastAsia="SimSun"/>
          <w:szCs w:val="22"/>
          <w:lang w:eastAsia="fr-BE"/>
        </w:rPr>
      </w:pPr>
      <w:r w:rsidRPr="00140779">
        <w:rPr>
          <w:rFonts w:eastAsia="SimSun"/>
          <w:szCs w:val="22"/>
          <w:lang w:eastAsia="fr-BE"/>
        </w:rPr>
        <w:t>In healthy subjects, co-administration of celecoxib 200 mg twice daily with 450 mg twice daily of lithium resulted in a mean increase in C</w:t>
      </w:r>
      <w:r w:rsidRPr="00140779">
        <w:rPr>
          <w:rFonts w:eastAsia="SimSun"/>
          <w:szCs w:val="22"/>
          <w:vertAlign w:val="subscript"/>
          <w:lang w:eastAsia="fr-BE"/>
        </w:rPr>
        <w:t>max</w:t>
      </w:r>
      <w:r w:rsidRPr="00140779">
        <w:rPr>
          <w:rFonts w:eastAsia="SimSun"/>
          <w:szCs w:val="22"/>
          <w:lang w:eastAsia="fr-BE"/>
        </w:rPr>
        <w:t xml:space="preserve"> of 16</w:t>
      </w:r>
      <w:r w:rsidR="002C23CE">
        <w:rPr>
          <w:rFonts w:eastAsia="SimSun"/>
          <w:szCs w:val="22"/>
          <w:lang w:eastAsia="fr-BE"/>
        </w:rPr>
        <w:t xml:space="preserve"> </w:t>
      </w:r>
      <w:r w:rsidRPr="00140779">
        <w:rPr>
          <w:rFonts w:eastAsia="SimSun"/>
          <w:szCs w:val="22"/>
          <w:lang w:eastAsia="fr-BE"/>
        </w:rPr>
        <w:t>% and in AUC of 18% of lithium. Therefore, patients on lithium treatment should be closely monitored when celecoxib is introduced or withdrawn.</w:t>
      </w:r>
    </w:p>
    <w:p w:rsidR="005735BE" w:rsidRPr="00140779" w:rsidRDefault="005735BE" w:rsidP="00F05E2A">
      <w:pPr>
        <w:tabs>
          <w:tab w:val="clear" w:pos="567"/>
        </w:tabs>
        <w:autoSpaceDE w:val="0"/>
        <w:autoSpaceDN w:val="0"/>
        <w:adjustRightInd w:val="0"/>
        <w:spacing w:line="240" w:lineRule="auto"/>
        <w:jc w:val="both"/>
        <w:rPr>
          <w:rFonts w:eastAsia="SimSun"/>
          <w:szCs w:val="22"/>
          <w:lang w:eastAsia="fr-BE"/>
        </w:rPr>
      </w:pPr>
    </w:p>
    <w:p w:rsidR="00A01405" w:rsidRPr="00140779" w:rsidRDefault="00A01405" w:rsidP="00F05E2A">
      <w:pPr>
        <w:tabs>
          <w:tab w:val="clear" w:pos="567"/>
        </w:tabs>
        <w:autoSpaceDE w:val="0"/>
        <w:autoSpaceDN w:val="0"/>
        <w:adjustRightInd w:val="0"/>
        <w:spacing w:line="240" w:lineRule="auto"/>
        <w:jc w:val="both"/>
        <w:rPr>
          <w:rFonts w:eastAsia="SimSun"/>
          <w:i/>
          <w:szCs w:val="22"/>
          <w:u w:val="single"/>
          <w:lang w:eastAsia="fr-BE"/>
        </w:rPr>
      </w:pPr>
      <w:r w:rsidRPr="00140779">
        <w:rPr>
          <w:rFonts w:eastAsia="SimSun"/>
          <w:i/>
          <w:szCs w:val="22"/>
          <w:u w:val="single"/>
          <w:lang w:eastAsia="fr-BE"/>
        </w:rPr>
        <w:t>Oral contraceptives</w:t>
      </w:r>
    </w:p>
    <w:p w:rsidR="00A01405" w:rsidRPr="00140779" w:rsidRDefault="00A01405" w:rsidP="00A01405">
      <w:pPr>
        <w:tabs>
          <w:tab w:val="clear" w:pos="567"/>
        </w:tabs>
        <w:autoSpaceDE w:val="0"/>
        <w:autoSpaceDN w:val="0"/>
        <w:adjustRightInd w:val="0"/>
        <w:spacing w:line="240" w:lineRule="auto"/>
        <w:jc w:val="both"/>
        <w:rPr>
          <w:rFonts w:eastAsia="SimSun"/>
          <w:szCs w:val="22"/>
          <w:lang w:eastAsia="fr-BE"/>
        </w:rPr>
      </w:pPr>
      <w:r w:rsidRPr="00140779">
        <w:rPr>
          <w:rFonts w:eastAsia="SimSun"/>
          <w:szCs w:val="22"/>
          <w:lang w:eastAsia="fr-BE"/>
        </w:rPr>
        <w:t xml:space="preserve">In an interaction study, celecoxib had no clinically relevant effects on the pharmacokinetics of oral contraceptives (1 mg norethistherone /35 </w:t>
      </w:r>
      <w:r w:rsidR="002C23CE" w:rsidRPr="00180EC2">
        <w:rPr>
          <w:rFonts w:eastAsia="SimSun"/>
          <w:szCs w:val="22"/>
          <w:lang w:eastAsia="fr-BE"/>
        </w:rPr>
        <w:t>microg</w:t>
      </w:r>
      <w:r w:rsidR="002C23CE">
        <w:rPr>
          <w:rFonts w:eastAsia="SimSun"/>
          <w:szCs w:val="22"/>
          <w:lang w:eastAsia="fr-BE"/>
        </w:rPr>
        <w:t>rams</w:t>
      </w:r>
      <w:r w:rsidRPr="00140779">
        <w:rPr>
          <w:rFonts w:eastAsia="SimSun"/>
          <w:szCs w:val="22"/>
          <w:lang w:eastAsia="fr-BE"/>
        </w:rPr>
        <w:t xml:space="preserve"> ethinylestradiol).</w:t>
      </w:r>
    </w:p>
    <w:p w:rsidR="00A01405" w:rsidRPr="00140779" w:rsidRDefault="00A01405" w:rsidP="00F05E2A">
      <w:pPr>
        <w:tabs>
          <w:tab w:val="clear" w:pos="567"/>
        </w:tabs>
        <w:autoSpaceDE w:val="0"/>
        <w:autoSpaceDN w:val="0"/>
        <w:adjustRightInd w:val="0"/>
        <w:spacing w:line="240" w:lineRule="auto"/>
        <w:jc w:val="both"/>
        <w:rPr>
          <w:rFonts w:eastAsia="SimSun"/>
          <w:i/>
          <w:szCs w:val="22"/>
          <w:u w:val="single"/>
          <w:lang w:eastAsia="fr-BE"/>
        </w:rPr>
      </w:pPr>
    </w:p>
    <w:p w:rsidR="00A01405" w:rsidRPr="00140779" w:rsidRDefault="00A01405" w:rsidP="00F05E2A">
      <w:pPr>
        <w:tabs>
          <w:tab w:val="clear" w:pos="567"/>
        </w:tabs>
        <w:autoSpaceDE w:val="0"/>
        <w:autoSpaceDN w:val="0"/>
        <w:adjustRightInd w:val="0"/>
        <w:spacing w:line="240" w:lineRule="auto"/>
        <w:jc w:val="both"/>
        <w:rPr>
          <w:rFonts w:eastAsia="SimSun"/>
          <w:i/>
          <w:szCs w:val="22"/>
          <w:u w:val="single"/>
          <w:lang w:eastAsia="fr-BE"/>
        </w:rPr>
      </w:pPr>
      <w:r w:rsidRPr="00140779">
        <w:rPr>
          <w:rFonts w:eastAsia="SimSun"/>
          <w:i/>
          <w:szCs w:val="22"/>
          <w:u w:val="single"/>
          <w:lang w:eastAsia="fr-BE"/>
        </w:rPr>
        <w:t>Glibenclamide/tolbutamide</w:t>
      </w:r>
    </w:p>
    <w:p w:rsidR="00A01405" w:rsidRPr="00140779" w:rsidRDefault="00A01405" w:rsidP="00A01405">
      <w:pPr>
        <w:tabs>
          <w:tab w:val="clear" w:pos="567"/>
        </w:tabs>
        <w:autoSpaceDE w:val="0"/>
        <w:autoSpaceDN w:val="0"/>
        <w:adjustRightInd w:val="0"/>
        <w:spacing w:line="240" w:lineRule="auto"/>
        <w:jc w:val="both"/>
        <w:rPr>
          <w:rFonts w:eastAsia="SimSun"/>
          <w:szCs w:val="22"/>
          <w:lang w:eastAsia="fr-BE"/>
        </w:rPr>
      </w:pPr>
      <w:r w:rsidRPr="00140779">
        <w:rPr>
          <w:rFonts w:eastAsia="SimSun"/>
          <w:szCs w:val="22"/>
          <w:lang w:eastAsia="fr-BE"/>
        </w:rPr>
        <w:t>Celecoxib does not affect the pharmacokinetics of tolbutamide (CYP2C9 substrate), or glibenclamide to a clinically relevant extent.</w:t>
      </w:r>
    </w:p>
    <w:p w:rsidR="00A01405" w:rsidRPr="00140779" w:rsidRDefault="00A01405" w:rsidP="00F05E2A">
      <w:pPr>
        <w:tabs>
          <w:tab w:val="clear" w:pos="567"/>
        </w:tabs>
        <w:autoSpaceDE w:val="0"/>
        <w:autoSpaceDN w:val="0"/>
        <w:adjustRightInd w:val="0"/>
        <w:spacing w:line="240" w:lineRule="auto"/>
        <w:jc w:val="both"/>
        <w:rPr>
          <w:rFonts w:eastAsia="SimSun"/>
          <w:i/>
          <w:szCs w:val="22"/>
          <w:u w:val="single"/>
          <w:lang w:eastAsia="fr-BE"/>
        </w:rPr>
      </w:pPr>
    </w:p>
    <w:p w:rsidR="005735BE" w:rsidRPr="00140779" w:rsidRDefault="005735BE" w:rsidP="00F05E2A">
      <w:pPr>
        <w:tabs>
          <w:tab w:val="clear" w:pos="567"/>
        </w:tabs>
        <w:autoSpaceDE w:val="0"/>
        <w:autoSpaceDN w:val="0"/>
        <w:adjustRightInd w:val="0"/>
        <w:spacing w:line="240" w:lineRule="auto"/>
        <w:jc w:val="both"/>
        <w:rPr>
          <w:rFonts w:eastAsia="SimSun"/>
          <w:i/>
          <w:iCs/>
          <w:szCs w:val="22"/>
          <w:lang w:eastAsia="fr-BE"/>
        </w:rPr>
      </w:pPr>
      <w:r w:rsidRPr="00140779">
        <w:rPr>
          <w:rFonts w:eastAsia="SimSun"/>
          <w:i/>
          <w:iCs/>
          <w:szCs w:val="22"/>
          <w:lang w:eastAsia="fr-BE"/>
        </w:rPr>
        <w:t>Effects of other drugs on celecoxib</w:t>
      </w:r>
    </w:p>
    <w:p w:rsidR="00A01405" w:rsidRPr="00140779" w:rsidRDefault="00A01405" w:rsidP="00F05E2A">
      <w:pPr>
        <w:tabs>
          <w:tab w:val="clear" w:pos="567"/>
        </w:tabs>
        <w:autoSpaceDE w:val="0"/>
        <w:autoSpaceDN w:val="0"/>
        <w:adjustRightInd w:val="0"/>
        <w:spacing w:line="240" w:lineRule="auto"/>
        <w:jc w:val="both"/>
        <w:rPr>
          <w:rFonts w:eastAsia="SimSun"/>
          <w:i/>
          <w:szCs w:val="22"/>
          <w:u w:val="single"/>
          <w:lang w:eastAsia="fr-BE"/>
        </w:rPr>
      </w:pPr>
      <w:r w:rsidRPr="00140779">
        <w:rPr>
          <w:rFonts w:eastAsia="SimSun"/>
          <w:i/>
          <w:szCs w:val="22"/>
          <w:u w:val="single"/>
          <w:lang w:eastAsia="fr-BE"/>
        </w:rPr>
        <w:t>CYP2C19 poor metabolisers</w:t>
      </w:r>
    </w:p>
    <w:p w:rsidR="005735BE" w:rsidRPr="00140779" w:rsidRDefault="005735BE" w:rsidP="00F05E2A">
      <w:pPr>
        <w:tabs>
          <w:tab w:val="clear" w:pos="567"/>
        </w:tabs>
        <w:autoSpaceDE w:val="0"/>
        <w:autoSpaceDN w:val="0"/>
        <w:adjustRightInd w:val="0"/>
        <w:spacing w:line="240" w:lineRule="auto"/>
        <w:jc w:val="both"/>
        <w:rPr>
          <w:rFonts w:eastAsia="SimSun"/>
          <w:szCs w:val="22"/>
          <w:lang w:eastAsia="fr-BE"/>
        </w:rPr>
      </w:pPr>
      <w:r w:rsidRPr="00140779">
        <w:rPr>
          <w:rFonts w:eastAsia="SimSun"/>
          <w:szCs w:val="22"/>
          <w:lang w:eastAsia="fr-BE"/>
        </w:rPr>
        <w:t xml:space="preserve">In individuals who are CYP2C9 poor metabolisers and demonstrate increased systemic exposure to celecoxib, concomitant treatment with CYP2C9 inhibitors could result in further increases in celecoxib exposure. Such combinations should be avoided in known CYP2C9 poor metabolisers (see sections 4.2 and 5.2). </w:t>
      </w:r>
    </w:p>
    <w:p w:rsidR="005735BE" w:rsidRPr="00140779" w:rsidRDefault="005735BE" w:rsidP="00F05E2A">
      <w:pPr>
        <w:tabs>
          <w:tab w:val="clear" w:pos="567"/>
        </w:tabs>
        <w:autoSpaceDE w:val="0"/>
        <w:autoSpaceDN w:val="0"/>
        <w:adjustRightInd w:val="0"/>
        <w:spacing w:line="240" w:lineRule="auto"/>
        <w:jc w:val="both"/>
        <w:rPr>
          <w:rFonts w:eastAsia="SimSun"/>
          <w:szCs w:val="22"/>
          <w:lang w:eastAsia="fr-BE"/>
        </w:rPr>
      </w:pPr>
    </w:p>
    <w:p w:rsidR="00A01405" w:rsidRPr="00140779" w:rsidRDefault="00A01405" w:rsidP="00F05E2A">
      <w:pPr>
        <w:tabs>
          <w:tab w:val="clear" w:pos="567"/>
        </w:tabs>
        <w:autoSpaceDE w:val="0"/>
        <w:autoSpaceDN w:val="0"/>
        <w:adjustRightInd w:val="0"/>
        <w:spacing w:line="240" w:lineRule="auto"/>
        <w:jc w:val="both"/>
        <w:rPr>
          <w:rFonts w:eastAsia="SimSun"/>
          <w:i/>
          <w:szCs w:val="22"/>
          <w:u w:val="single"/>
          <w:lang w:eastAsia="fr-BE"/>
        </w:rPr>
      </w:pPr>
      <w:r w:rsidRPr="00140779">
        <w:rPr>
          <w:rFonts w:eastAsia="SimSun"/>
          <w:i/>
          <w:szCs w:val="22"/>
          <w:u w:val="single"/>
          <w:lang w:eastAsia="fr-BE"/>
        </w:rPr>
        <w:t>CYP2C19 inhibitors and inducers</w:t>
      </w:r>
    </w:p>
    <w:p w:rsidR="00A01405" w:rsidRPr="00140779" w:rsidRDefault="005735BE" w:rsidP="00F05E2A">
      <w:pPr>
        <w:tabs>
          <w:tab w:val="clear" w:pos="567"/>
        </w:tabs>
        <w:autoSpaceDE w:val="0"/>
        <w:autoSpaceDN w:val="0"/>
        <w:adjustRightInd w:val="0"/>
        <w:spacing w:line="240" w:lineRule="auto"/>
        <w:jc w:val="both"/>
        <w:rPr>
          <w:rFonts w:eastAsia="SimSun"/>
          <w:szCs w:val="22"/>
          <w:lang w:eastAsia="fr-BE"/>
        </w:rPr>
      </w:pPr>
      <w:r w:rsidRPr="00140779">
        <w:rPr>
          <w:rFonts w:eastAsia="SimSun"/>
          <w:szCs w:val="22"/>
          <w:lang w:eastAsia="fr-BE"/>
        </w:rPr>
        <w:t>Since celecoxib is predominantly metabolised by CYP2C9 it should be used at half the recommended dose in patients receiving fluconazole. Concomitant use of 200 mg single dose of celecoxib and 200 mg once daily of fluconazole, a potent CYP2C9 inhibitor, resulted in a mean increase in celecoxib C</w:t>
      </w:r>
      <w:r w:rsidRPr="00140779">
        <w:rPr>
          <w:rFonts w:eastAsia="SimSun"/>
          <w:szCs w:val="22"/>
          <w:vertAlign w:val="subscript"/>
          <w:lang w:eastAsia="fr-BE"/>
        </w:rPr>
        <w:t>max</w:t>
      </w:r>
      <w:r w:rsidRPr="00140779">
        <w:rPr>
          <w:rFonts w:eastAsia="SimSun"/>
          <w:szCs w:val="22"/>
          <w:lang w:eastAsia="fr-BE"/>
        </w:rPr>
        <w:t xml:space="preserve"> of 60</w:t>
      </w:r>
      <w:r w:rsidR="00A01405" w:rsidRPr="00140779">
        <w:rPr>
          <w:rFonts w:eastAsia="SimSun"/>
          <w:szCs w:val="22"/>
          <w:lang w:eastAsia="fr-BE"/>
        </w:rPr>
        <w:t xml:space="preserve"> </w:t>
      </w:r>
      <w:r w:rsidRPr="00140779">
        <w:rPr>
          <w:rFonts w:eastAsia="SimSun"/>
          <w:szCs w:val="22"/>
          <w:lang w:eastAsia="fr-BE"/>
        </w:rPr>
        <w:t>% and in AUC of 130</w:t>
      </w:r>
      <w:r w:rsidR="00A01405" w:rsidRPr="00140779">
        <w:rPr>
          <w:rFonts w:eastAsia="SimSun"/>
          <w:szCs w:val="22"/>
          <w:lang w:eastAsia="fr-BE"/>
        </w:rPr>
        <w:t xml:space="preserve"> </w:t>
      </w:r>
      <w:r w:rsidRPr="00140779">
        <w:rPr>
          <w:rFonts w:eastAsia="SimSun"/>
          <w:szCs w:val="22"/>
          <w:lang w:eastAsia="fr-BE"/>
        </w:rPr>
        <w:t xml:space="preserve">%. </w:t>
      </w:r>
    </w:p>
    <w:p w:rsidR="005735BE" w:rsidRPr="00140779" w:rsidRDefault="005735BE" w:rsidP="00F05E2A">
      <w:pPr>
        <w:tabs>
          <w:tab w:val="clear" w:pos="567"/>
        </w:tabs>
        <w:autoSpaceDE w:val="0"/>
        <w:autoSpaceDN w:val="0"/>
        <w:adjustRightInd w:val="0"/>
        <w:spacing w:line="240" w:lineRule="auto"/>
        <w:jc w:val="both"/>
        <w:rPr>
          <w:rFonts w:eastAsia="SimSun"/>
          <w:szCs w:val="22"/>
          <w:lang w:eastAsia="fr-BE"/>
        </w:rPr>
      </w:pPr>
      <w:r w:rsidRPr="00140779">
        <w:rPr>
          <w:rFonts w:eastAsia="SimSun"/>
          <w:szCs w:val="22"/>
          <w:lang w:eastAsia="fr-BE"/>
        </w:rPr>
        <w:lastRenderedPageBreak/>
        <w:t>Concomitant use of inducers of CYP2C9 such as rifampicin, carbamazepine and barbiturates may reduce plasma concentrations of celecoxib.</w:t>
      </w:r>
    </w:p>
    <w:p w:rsidR="005735BE" w:rsidRPr="00140779" w:rsidRDefault="005735BE" w:rsidP="00F05E2A">
      <w:pPr>
        <w:tabs>
          <w:tab w:val="clear" w:pos="567"/>
        </w:tabs>
        <w:autoSpaceDE w:val="0"/>
        <w:autoSpaceDN w:val="0"/>
        <w:adjustRightInd w:val="0"/>
        <w:spacing w:line="240" w:lineRule="auto"/>
        <w:jc w:val="both"/>
        <w:rPr>
          <w:rFonts w:eastAsia="SimSun"/>
          <w:szCs w:val="22"/>
          <w:lang w:eastAsia="fr-BE"/>
        </w:rPr>
      </w:pPr>
    </w:p>
    <w:p w:rsidR="00A01405" w:rsidRPr="00140779" w:rsidRDefault="00A01405" w:rsidP="00F05E2A">
      <w:pPr>
        <w:tabs>
          <w:tab w:val="clear" w:pos="567"/>
        </w:tabs>
        <w:autoSpaceDE w:val="0"/>
        <w:autoSpaceDN w:val="0"/>
        <w:adjustRightInd w:val="0"/>
        <w:spacing w:line="240" w:lineRule="auto"/>
        <w:jc w:val="both"/>
        <w:rPr>
          <w:rFonts w:eastAsia="SimSun"/>
          <w:i/>
          <w:szCs w:val="22"/>
          <w:u w:val="single"/>
          <w:lang w:eastAsia="fr-BE"/>
        </w:rPr>
      </w:pPr>
      <w:r w:rsidRPr="00140779">
        <w:rPr>
          <w:rFonts w:eastAsia="SimSun"/>
          <w:i/>
          <w:szCs w:val="22"/>
          <w:u w:val="single"/>
          <w:lang w:eastAsia="fr-BE"/>
        </w:rPr>
        <w:t>Ketaconazole and antacids</w:t>
      </w:r>
    </w:p>
    <w:p w:rsidR="005735BE" w:rsidRPr="00140779" w:rsidRDefault="005735BE" w:rsidP="00F05E2A">
      <w:pPr>
        <w:tabs>
          <w:tab w:val="clear" w:pos="567"/>
        </w:tabs>
        <w:autoSpaceDE w:val="0"/>
        <w:autoSpaceDN w:val="0"/>
        <w:adjustRightInd w:val="0"/>
        <w:spacing w:line="240" w:lineRule="auto"/>
        <w:jc w:val="both"/>
        <w:rPr>
          <w:rFonts w:eastAsia="SimSun"/>
          <w:szCs w:val="22"/>
          <w:lang w:eastAsia="fr-BE"/>
        </w:rPr>
      </w:pPr>
      <w:r w:rsidRPr="00140779">
        <w:rPr>
          <w:rFonts w:eastAsia="SimSun"/>
          <w:szCs w:val="22"/>
          <w:lang w:eastAsia="fr-BE"/>
        </w:rPr>
        <w:t>Ketoconazole or antacids have not been observed to affect the pharmacokinetics of</w:t>
      </w:r>
    </w:p>
    <w:p w:rsidR="00812D16" w:rsidRPr="00140779" w:rsidRDefault="005735BE" w:rsidP="00F05E2A">
      <w:pPr>
        <w:jc w:val="both"/>
        <w:rPr>
          <w:rFonts w:eastAsia="SimSun"/>
          <w:szCs w:val="22"/>
          <w:lang w:eastAsia="fr-BE"/>
        </w:rPr>
      </w:pPr>
      <w:r w:rsidRPr="00140779">
        <w:rPr>
          <w:rFonts w:eastAsia="SimSun"/>
          <w:szCs w:val="22"/>
          <w:lang w:eastAsia="fr-BE"/>
        </w:rPr>
        <w:t>celecoxib.</w:t>
      </w:r>
    </w:p>
    <w:p w:rsidR="00A01405" w:rsidRPr="00180EC2" w:rsidRDefault="00A01405" w:rsidP="00F05E2A">
      <w:pPr>
        <w:jc w:val="both"/>
      </w:pPr>
    </w:p>
    <w:p w:rsidR="00A01405" w:rsidRPr="00180EC2" w:rsidRDefault="00A01405" w:rsidP="00F05E2A">
      <w:pPr>
        <w:jc w:val="both"/>
        <w:rPr>
          <w:u w:val="single"/>
        </w:rPr>
      </w:pPr>
      <w:r w:rsidRPr="00180EC2">
        <w:rPr>
          <w:u w:val="single"/>
        </w:rPr>
        <w:t>Paediatric population</w:t>
      </w:r>
    </w:p>
    <w:p w:rsidR="00A01405" w:rsidRPr="00180EC2" w:rsidRDefault="00A01405" w:rsidP="00F05E2A">
      <w:pPr>
        <w:jc w:val="both"/>
      </w:pPr>
      <w:r w:rsidRPr="00180EC2">
        <w:t>Interaction studies have only been performed in adults.</w:t>
      </w:r>
    </w:p>
    <w:p w:rsidR="00A01405" w:rsidRPr="00180EC2" w:rsidRDefault="00A01405" w:rsidP="00F05E2A">
      <w:pPr>
        <w:jc w:val="both"/>
      </w:pPr>
    </w:p>
    <w:p w:rsidR="00812D16" w:rsidRPr="00180EC2" w:rsidRDefault="00812D16" w:rsidP="00F05E2A">
      <w:pPr>
        <w:ind w:left="567" w:hanging="567"/>
        <w:jc w:val="both"/>
        <w:outlineLvl w:val="0"/>
        <w:rPr>
          <w:noProof/>
          <w:szCs w:val="22"/>
        </w:rPr>
      </w:pPr>
      <w:r w:rsidRPr="00180EC2">
        <w:rPr>
          <w:b/>
          <w:noProof/>
          <w:szCs w:val="22"/>
        </w:rPr>
        <w:t>4.6</w:t>
      </w:r>
      <w:r w:rsidRPr="00180EC2">
        <w:rPr>
          <w:b/>
          <w:noProof/>
          <w:szCs w:val="22"/>
        </w:rPr>
        <w:tab/>
      </w:r>
      <w:r w:rsidRPr="00180EC2">
        <w:rPr>
          <w:b/>
          <w:bCs/>
          <w:szCs w:val="22"/>
        </w:rPr>
        <w:t>Fertility, p</w:t>
      </w:r>
      <w:r w:rsidRPr="00180EC2">
        <w:rPr>
          <w:b/>
          <w:noProof/>
          <w:szCs w:val="22"/>
        </w:rPr>
        <w:t>regnancy and lactation</w:t>
      </w:r>
    </w:p>
    <w:p w:rsidR="00812D16" w:rsidRPr="00180EC2" w:rsidRDefault="00812D16" w:rsidP="00F05E2A">
      <w:pPr>
        <w:jc w:val="both"/>
        <w:rPr>
          <w:noProof/>
          <w:szCs w:val="22"/>
        </w:rPr>
      </w:pPr>
    </w:p>
    <w:p w:rsidR="00DA3148" w:rsidRPr="00140779" w:rsidRDefault="002C23CE" w:rsidP="00F05E2A">
      <w:pPr>
        <w:tabs>
          <w:tab w:val="clear" w:pos="567"/>
        </w:tabs>
        <w:autoSpaceDE w:val="0"/>
        <w:autoSpaceDN w:val="0"/>
        <w:adjustRightInd w:val="0"/>
        <w:spacing w:line="240" w:lineRule="auto"/>
        <w:jc w:val="both"/>
        <w:rPr>
          <w:rFonts w:eastAsia="SimSun"/>
          <w:szCs w:val="22"/>
          <w:u w:val="single"/>
          <w:lang w:eastAsia="fr-BE"/>
        </w:rPr>
      </w:pPr>
      <w:r w:rsidRPr="00180EC2">
        <w:rPr>
          <w:rFonts w:eastAsia="SimSun"/>
          <w:szCs w:val="22"/>
          <w:u w:val="single"/>
          <w:lang w:eastAsia="fr-BE"/>
        </w:rPr>
        <w:t>Pregnancy</w:t>
      </w:r>
    </w:p>
    <w:p w:rsidR="005735BE" w:rsidRPr="00140779" w:rsidRDefault="005735BE" w:rsidP="00F05E2A">
      <w:pPr>
        <w:tabs>
          <w:tab w:val="clear" w:pos="567"/>
        </w:tabs>
        <w:autoSpaceDE w:val="0"/>
        <w:autoSpaceDN w:val="0"/>
        <w:adjustRightInd w:val="0"/>
        <w:spacing w:line="240" w:lineRule="auto"/>
        <w:jc w:val="both"/>
        <w:rPr>
          <w:rFonts w:eastAsia="SimSun"/>
          <w:szCs w:val="22"/>
          <w:lang w:eastAsia="fr-BE"/>
        </w:rPr>
      </w:pPr>
      <w:r w:rsidRPr="00140779">
        <w:rPr>
          <w:rFonts w:eastAsia="SimSun"/>
          <w:szCs w:val="22"/>
          <w:lang w:eastAsia="fr-BE"/>
        </w:rPr>
        <w:t xml:space="preserve">Studies in animals (rats and rabbits) have shown reproductive toxicity, including malformations (see </w:t>
      </w:r>
      <w:r w:rsidR="00DA3148" w:rsidRPr="00180EC2">
        <w:rPr>
          <w:noProof/>
          <w:szCs w:val="22"/>
        </w:rPr>
        <w:t xml:space="preserve">section </w:t>
      </w:r>
      <w:r w:rsidRPr="00140779">
        <w:rPr>
          <w:rFonts w:eastAsia="SimSun"/>
          <w:szCs w:val="22"/>
          <w:lang w:eastAsia="fr-BE"/>
        </w:rPr>
        <w:t xml:space="preserve">4.3 and 5.3). </w:t>
      </w:r>
      <w:r w:rsidR="00DA3148" w:rsidRPr="00140779">
        <w:rPr>
          <w:rFonts w:eastAsia="SimSun"/>
          <w:szCs w:val="22"/>
          <w:lang w:eastAsia="fr-BE"/>
        </w:rPr>
        <w:t xml:space="preserve">Inhibition of prostaglandin synthesis might adversely affect pregnancy. Data from epidemiological studies suggest an increased risk of spontaneous abortion after use of prostaglandin synthesis inhibitors in early pregnancy. </w:t>
      </w:r>
      <w:r w:rsidRPr="00140779">
        <w:rPr>
          <w:rFonts w:eastAsia="SimSun"/>
          <w:szCs w:val="22"/>
          <w:lang w:eastAsia="fr-BE"/>
        </w:rPr>
        <w:t xml:space="preserve">The potential for human risk in pregnancy is unknown, but cannot be excluded. Celecoxib, as with other drugs inhibiting prostaglandin synthesis, may cause uterine inertia and premature closure of the ductus arteriosus during the last trimester. </w:t>
      </w:r>
    </w:p>
    <w:p w:rsidR="00DA3148" w:rsidRPr="00140779" w:rsidRDefault="00DA3148" w:rsidP="00F05E2A">
      <w:pPr>
        <w:tabs>
          <w:tab w:val="clear" w:pos="567"/>
        </w:tabs>
        <w:autoSpaceDE w:val="0"/>
        <w:autoSpaceDN w:val="0"/>
        <w:adjustRightInd w:val="0"/>
        <w:spacing w:line="240" w:lineRule="auto"/>
        <w:jc w:val="both"/>
        <w:rPr>
          <w:rFonts w:eastAsia="SimSun"/>
          <w:szCs w:val="22"/>
          <w:lang w:eastAsia="fr-BE"/>
        </w:rPr>
      </w:pPr>
    </w:p>
    <w:p w:rsidR="00DA3148" w:rsidRPr="00140779" w:rsidRDefault="00DA3148" w:rsidP="00F05E2A">
      <w:pPr>
        <w:tabs>
          <w:tab w:val="clear" w:pos="567"/>
        </w:tabs>
        <w:autoSpaceDE w:val="0"/>
        <w:autoSpaceDN w:val="0"/>
        <w:adjustRightInd w:val="0"/>
        <w:spacing w:line="240" w:lineRule="auto"/>
        <w:jc w:val="both"/>
        <w:rPr>
          <w:rFonts w:eastAsia="SimSun"/>
          <w:szCs w:val="22"/>
          <w:lang w:eastAsia="fr-BE"/>
        </w:rPr>
      </w:pPr>
      <w:r w:rsidRPr="00140779">
        <w:rPr>
          <w:rFonts w:eastAsia="SimSun"/>
          <w:szCs w:val="22"/>
          <w:lang w:eastAsia="fr-BE"/>
        </w:rPr>
        <w:t xml:space="preserve">During the second or third term of pregnancy, NSAIDs, including celecoxib, may result in a foetal kidney </w:t>
      </w:r>
      <w:r w:rsidR="002C23CE" w:rsidRPr="00180EC2">
        <w:rPr>
          <w:rFonts w:eastAsia="SimSun"/>
          <w:szCs w:val="22"/>
          <w:lang w:eastAsia="fr-BE"/>
        </w:rPr>
        <w:t>dysfunction</w:t>
      </w:r>
      <w:r w:rsidRPr="00140779">
        <w:rPr>
          <w:rFonts w:eastAsia="SimSun"/>
          <w:szCs w:val="22"/>
          <w:lang w:eastAsia="fr-BE"/>
        </w:rPr>
        <w:t xml:space="preserve"> that might lead to reduction of amniotic fluid volume or to an oligohydramnios in severe cases. Such effects might appear </w:t>
      </w:r>
      <w:r w:rsidR="002C23CE" w:rsidRPr="00180EC2">
        <w:rPr>
          <w:rFonts w:eastAsia="SimSun"/>
          <w:szCs w:val="22"/>
          <w:lang w:eastAsia="fr-BE"/>
        </w:rPr>
        <w:t>rapidly</w:t>
      </w:r>
      <w:r w:rsidRPr="00140779">
        <w:rPr>
          <w:rFonts w:eastAsia="SimSun"/>
          <w:szCs w:val="22"/>
          <w:lang w:eastAsia="fr-BE"/>
        </w:rPr>
        <w:t xml:space="preserve"> after treatment initiation and are generally reversible.</w:t>
      </w:r>
    </w:p>
    <w:p w:rsidR="005735BE" w:rsidRPr="00140779" w:rsidRDefault="005735BE" w:rsidP="00F05E2A">
      <w:pPr>
        <w:tabs>
          <w:tab w:val="clear" w:pos="567"/>
        </w:tabs>
        <w:autoSpaceDE w:val="0"/>
        <w:autoSpaceDN w:val="0"/>
        <w:adjustRightInd w:val="0"/>
        <w:spacing w:line="240" w:lineRule="auto"/>
        <w:jc w:val="both"/>
        <w:rPr>
          <w:rFonts w:eastAsia="SimSun"/>
          <w:szCs w:val="22"/>
          <w:lang w:eastAsia="fr-BE"/>
        </w:rPr>
      </w:pPr>
    </w:p>
    <w:p w:rsidR="00DA3148" w:rsidRPr="00140779" w:rsidRDefault="00DA3148" w:rsidP="00F05E2A">
      <w:pPr>
        <w:tabs>
          <w:tab w:val="clear" w:pos="567"/>
        </w:tabs>
        <w:autoSpaceDE w:val="0"/>
        <w:autoSpaceDN w:val="0"/>
        <w:adjustRightInd w:val="0"/>
        <w:spacing w:line="240" w:lineRule="auto"/>
        <w:jc w:val="both"/>
        <w:rPr>
          <w:rFonts w:eastAsia="SimSun"/>
          <w:szCs w:val="22"/>
          <w:lang w:eastAsia="fr-BE"/>
        </w:rPr>
      </w:pPr>
      <w:r w:rsidRPr="00140779">
        <w:rPr>
          <w:rFonts w:eastAsia="SimSun"/>
          <w:szCs w:val="22"/>
          <w:lang w:eastAsia="fr-BE"/>
        </w:rPr>
        <w:t xml:space="preserve">Celecoxib is contraindicated in pregnancy and in women who can become pregnant (see </w:t>
      </w:r>
      <w:r w:rsidRPr="00180EC2">
        <w:rPr>
          <w:noProof/>
          <w:szCs w:val="22"/>
        </w:rPr>
        <w:t xml:space="preserve">section </w:t>
      </w:r>
      <w:r w:rsidRPr="00140779">
        <w:rPr>
          <w:rFonts w:eastAsia="SimSun"/>
          <w:szCs w:val="22"/>
          <w:lang w:eastAsia="fr-BE"/>
        </w:rPr>
        <w:t>4.3 and 4.4). If a woman becomes pregnant during treatment, celecoxib should be discontinued.</w:t>
      </w:r>
    </w:p>
    <w:p w:rsidR="00DA3148" w:rsidRPr="00140779" w:rsidRDefault="00DA3148" w:rsidP="00F05E2A">
      <w:pPr>
        <w:tabs>
          <w:tab w:val="clear" w:pos="567"/>
        </w:tabs>
        <w:autoSpaceDE w:val="0"/>
        <w:autoSpaceDN w:val="0"/>
        <w:adjustRightInd w:val="0"/>
        <w:spacing w:line="240" w:lineRule="auto"/>
        <w:jc w:val="both"/>
        <w:rPr>
          <w:rFonts w:eastAsia="SimSun"/>
          <w:szCs w:val="22"/>
          <w:lang w:eastAsia="fr-BE"/>
        </w:rPr>
      </w:pPr>
    </w:p>
    <w:p w:rsidR="00DA3148" w:rsidRPr="00140779" w:rsidRDefault="00DA3148" w:rsidP="00F05E2A">
      <w:pPr>
        <w:tabs>
          <w:tab w:val="clear" w:pos="567"/>
        </w:tabs>
        <w:autoSpaceDE w:val="0"/>
        <w:autoSpaceDN w:val="0"/>
        <w:adjustRightInd w:val="0"/>
        <w:spacing w:line="240" w:lineRule="auto"/>
        <w:jc w:val="both"/>
        <w:rPr>
          <w:rFonts w:eastAsia="SimSun"/>
          <w:szCs w:val="22"/>
          <w:u w:val="single"/>
          <w:lang w:eastAsia="fr-BE"/>
        </w:rPr>
      </w:pPr>
      <w:r w:rsidRPr="00140779">
        <w:rPr>
          <w:rFonts w:eastAsia="SimSun"/>
          <w:szCs w:val="22"/>
          <w:u w:val="single"/>
          <w:lang w:eastAsia="fr-BE"/>
        </w:rPr>
        <w:t>Breast-feeding</w:t>
      </w:r>
    </w:p>
    <w:p w:rsidR="00812D16" w:rsidRPr="00140779" w:rsidRDefault="005735BE" w:rsidP="00F05E2A">
      <w:pPr>
        <w:tabs>
          <w:tab w:val="clear" w:pos="567"/>
        </w:tabs>
        <w:autoSpaceDE w:val="0"/>
        <w:autoSpaceDN w:val="0"/>
        <w:adjustRightInd w:val="0"/>
        <w:spacing w:line="240" w:lineRule="auto"/>
        <w:jc w:val="both"/>
        <w:rPr>
          <w:rFonts w:eastAsia="SimSun"/>
          <w:szCs w:val="22"/>
          <w:lang w:eastAsia="fr-BE"/>
        </w:rPr>
      </w:pPr>
      <w:r w:rsidRPr="00140779">
        <w:rPr>
          <w:rFonts w:eastAsia="SimSun"/>
          <w:szCs w:val="22"/>
          <w:lang w:eastAsia="fr-BE"/>
        </w:rPr>
        <w:t>Celecoxib is excreted in the milk of lactating rats at concentrations similar to those in plasma. Administration of celecoxib to a limited number of lactating women has shown a very low transfer of celecoxib into breast milk. Women who take celecoxib should not breastfeed.</w:t>
      </w:r>
    </w:p>
    <w:p w:rsidR="00DA3148" w:rsidRPr="00140779" w:rsidRDefault="00DA3148" w:rsidP="00F05E2A">
      <w:pPr>
        <w:tabs>
          <w:tab w:val="clear" w:pos="567"/>
        </w:tabs>
        <w:autoSpaceDE w:val="0"/>
        <w:autoSpaceDN w:val="0"/>
        <w:adjustRightInd w:val="0"/>
        <w:spacing w:line="240" w:lineRule="auto"/>
        <w:jc w:val="both"/>
        <w:rPr>
          <w:rFonts w:eastAsia="SimSun"/>
          <w:szCs w:val="22"/>
          <w:lang w:eastAsia="fr-BE"/>
        </w:rPr>
      </w:pPr>
    </w:p>
    <w:p w:rsidR="00DA3148" w:rsidRPr="00140779" w:rsidRDefault="00DA3148" w:rsidP="00F05E2A">
      <w:pPr>
        <w:tabs>
          <w:tab w:val="clear" w:pos="567"/>
        </w:tabs>
        <w:autoSpaceDE w:val="0"/>
        <w:autoSpaceDN w:val="0"/>
        <w:adjustRightInd w:val="0"/>
        <w:spacing w:line="240" w:lineRule="auto"/>
        <w:jc w:val="both"/>
        <w:rPr>
          <w:rFonts w:eastAsia="SimSun"/>
          <w:szCs w:val="22"/>
          <w:u w:val="single"/>
          <w:lang w:eastAsia="fr-BE"/>
        </w:rPr>
      </w:pPr>
      <w:r w:rsidRPr="00140779">
        <w:rPr>
          <w:rFonts w:eastAsia="SimSun"/>
          <w:szCs w:val="22"/>
          <w:u w:val="single"/>
          <w:lang w:eastAsia="fr-BE"/>
        </w:rPr>
        <w:t>Fertility</w:t>
      </w:r>
    </w:p>
    <w:p w:rsidR="00DA3148" w:rsidRPr="00140779" w:rsidRDefault="00DA3148" w:rsidP="00F05E2A">
      <w:pPr>
        <w:tabs>
          <w:tab w:val="clear" w:pos="567"/>
        </w:tabs>
        <w:autoSpaceDE w:val="0"/>
        <w:autoSpaceDN w:val="0"/>
        <w:adjustRightInd w:val="0"/>
        <w:spacing w:line="240" w:lineRule="auto"/>
        <w:jc w:val="both"/>
        <w:rPr>
          <w:rFonts w:eastAsia="SimSun"/>
          <w:szCs w:val="22"/>
          <w:lang w:eastAsia="fr-BE"/>
        </w:rPr>
      </w:pPr>
      <w:r w:rsidRPr="00140779">
        <w:rPr>
          <w:rFonts w:eastAsia="SimSun"/>
          <w:szCs w:val="22"/>
          <w:lang w:eastAsia="fr-BE"/>
        </w:rPr>
        <w:t>Based on the mechanism of action, the use of NSAIDs, including celecoxib, may delay or prevent rupture of ovarian follicles, which has been associated with reversible infertility in some women.</w:t>
      </w:r>
    </w:p>
    <w:p w:rsidR="005735BE" w:rsidRPr="00180EC2" w:rsidRDefault="005735BE" w:rsidP="00F05E2A">
      <w:pPr>
        <w:jc w:val="both"/>
        <w:rPr>
          <w:i/>
          <w:noProof/>
          <w:szCs w:val="22"/>
        </w:rPr>
      </w:pPr>
    </w:p>
    <w:p w:rsidR="00812D16" w:rsidRPr="00180EC2" w:rsidRDefault="00812D16" w:rsidP="00F05E2A">
      <w:pPr>
        <w:ind w:left="567" w:hanging="567"/>
        <w:jc w:val="both"/>
        <w:outlineLvl w:val="0"/>
        <w:rPr>
          <w:b/>
          <w:noProof/>
          <w:szCs w:val="22"/>
        </w:rPr>
      </w:pPr>
      <w:r w:rsidRPr="00180EC2">
        <w:rPr>
          <w:b/>
          <w:noProof/>
          <w:szCs w:val="22"/>
        </w:rPr>
        <w:t>4.7</w:t>
      </w:r>
      <w:r w:rsidRPr="00180EC2">
        <w:rPr>
          <w:b/>
          <w:noProof/>
          <w:szCs w:val="22"/>
        </w:rPr>
        <w:tab/>
        <w:t>Effects on ability to drive and use machines</w:t>
      </w:r>
    </w:p>
    <w:p w:rsidR="005735BE" w:rsidRPr="00180EC2" w:rsidRDefault="005735BE" w:rsidP="00F05E2A">
      <w:pPr>
        <w:ind w:left="567" w:hanging="567"/>
        <w:jc w:val="both"/>
        <w:outlineLvl w:val="0"/>
        <w:rPr>
          <w:noProof/>
          <w:szCs w:val="22"/>
        </w:rPr>
      </w:pPr>
    </w:p>
    <w:p w:rsidR="00812D16" w:rsidRPr="00140779" w:rsidRDefault="005735BE" w:rsidP="00F05E2A">
      <w:pPr>
        <w:tabs>
          <w:tab w:val="clear" w:pos="567"/>
        </w:tabs>
        <w:autoSpaceDE w:val="0"/>
        <w:autoSpaceDN w:val="0"/>
        <w:adjustRightInd w:val="0"/>
        <w:spacing w:line="240" w:lineRule="auto"/>
        <w:jc w:val="both"/>
        <w:rPr>
          <w:rFonts w:eastAsia="SimSun"/>
          <w:sz w:val="24"/>
          <w:szCs w:val="24"/>
          <w:lang w:eastAsia="fr-BE"/>
        </w:rPr>
      </w:pPr>
      <w:r w:rsidRPr="00140779">
        <w:rPr>
          <w:rFonts w:eastAsia="SimSun"/>
          <w:sz w:val="24"/>
          <w:szCs w:val="24"/>
          <w:lang w:eastAsia="fr-BE"/>
        </w:rPr>
        <w:t>Patients who experience dizziness, vertigo or somnolence while taking celecoxib should refrain from driving or operating machinery.</w:t>
      </w:r>
    </w:p>
    <w:p w:rsidR="005735BE" w:rsidRPr="00140779" w:rsidRDefault="005735BE" w:rsidP="00F05E2A">
      <w:pPr>
        <w:tabs>
          <w:tab w:val="clear" w:pos="567"/>
        </w:tabs>
        <w:autoSpaceDE w:val="0"/>
        <w:autoSpaceDN w:val="0"/>
        <w:adjustRightInd w:val="0"/>
        <w:spacing w:line="240" w:lineRule="auto"/>
        <w:jc w:val="both"/>
        <w:rPr>
          <w:rFonts w:eastAsia="SimSun"/>
          <w:sz w:val="24"/>
          <w:szCs w:val="24"/>
          <w:lang w:eastAsia="fr-BE"/>
        </w:rPr>
      </w:pPr>
    </w:p>
    <w:p w:rsidR="00812D16" w:rsidRPr="00180EC2" w:rsidRDefault="00855481" w:rsidP="00F05E2A">
      <w:pPr>
        <w:spacing w:line="240" w:lineRule="auto"/>
        <w:jc w:val="both"/>
        <w:outlineLvl w:val="0"/>
        <w:rPr>
          <w:b/>
          <w:noProof/>
          <w:szCs w:val="22"/>
        </w:rPr>
      </w:pPr>
      <w:r w:rsidRPr="00180EC2">
        <w:rPr>
          <w:b/>
          <w:noProof/>
          <w:szCs w:val="22"/>
        </w:rPr>
        <w:t>4.8</w:t>
      </w:r>
      <w:r w:rsidRPr="00180EC2">
        <w:rPr>
          <w:b/>
          <w:noProof/>
          <w:szCs w:val="22"/>
        </w:rPr>
        <w:tab/>
      </w:r>
      <w:r w:rsidR="00812D16" w:rsidRPr="00180EC2">
        <w:rPr>
          <w:b/>
          <w:noProof/>
          <w:szCs w:val="22"/>
        </w:rPr>
        <w:t>Undesirable effects</w:t>
      </w:r>
    </w:p>
    <w:p w:rsidR="00812D16" w:rsidRPr="00180EC2" w:rsidRDefault="00812D16" w:rsidP="00F05E2A">
      <w:pPr>
        <w:autoSpaceDE w:val="0"/>
        <w:autoSpaceDN w:val="0"/>
        <w:adjustRightInd w:val="0"/>
        <w:jc w:val="both"/>
        <w:rPr>
          <w:noProof/>
          <w:szCs w:val="22"/>
        </w:rPr>
      </w:pPr>
    </w:p>
    <w:p w:rsidR="005735BE" w:rsidRPr="00140779" w:rsidRDefault="005735BE" w:rsidP="00F05E2A">
      <w:pPr>
        <w:pStyle w:val="ListParagraph"/>
        <w:numPr>
          <w:ilvl w:val="0"/>
          <w:numId w:val="31"/>
        </w:numPr>
        <w:autoSpaceDE w:val="0"/>
        <w:autoSpaceDN w:val="0"/>
        <w:adjustRightInd w:val="0"/>
        <w:spacing w:line="240" w:lineRule="auto"/>
        <w:jc w:val="both"/>
        <w:rPr>
          <w:rFonts w:ascii="Times New Roman" w:eastAsia="SimSun" w:hAnsi="Times New Roman" w:cs="Times New Roman"/>
          <w:sz w:val="24"/>
          <w:szCs w:val="24"/>
          <w:lang w:val="en-GB" w:eastAsia="fr-BE"/>
        </w:rPr>
      </w:pPr>
      <w:r w:rsidRPr="00140779">
        <w:rPr>
          <w:rFonts w:ascii="Times New Roman" w:eastAsia="SimSun" w:hAnsi="Times New Roman" w:cs="Times New Roman"/>
          <w:sz w:val="24"/>
          <w:szCs w:val="24"/>
          <w:lang w:val="en-GB" w:eastAsia="fr-BE"/>
        </w:rPr>
        <w:t xml:space="preserve">Adverse reactions are listed by system organ class and ranked by frequency in </w:t>
      </w:r>
      <w:r w:rsidRPr="00140779">
        <w:rPr>
          <w:rFonts w:ascii="Times New Roman" w:eastAsia="SimSun" w:hAnsi="Times New Roman" w:cs="Times New Roman"/>
          <w:b/>
          <w:bCs/>
          <w:sz w:val="24"/>
          <w:szCs w:val="24"/>
          <w:lang w:val="en-GB" w:eastAsia="fr-BE"/>
        </w:rPr>
        <w:t>Table 1</w:t>
      </w:r>
      <w:r w:rsidRPr="00140779">
        <w:rPr>
          <w:rFonts w:ascii="Times New Roman" w:eastAsia="SimSun" w:hAnsi="Times New Roman" w:cs="Times New Roman"/>
          <w:sz w:val="24"/>
          <w:szCs w:val="24"/>
          <w:lang w:val="en-GB" w:eastAsia="fr-BE"/>
        </w:rPr>
        <w:t>, reflecting data from the following sources:</w:t>
      </w:r>
    </w:p>
    <w:p w:rsidR="005735BE" w:rsidRPr="00140779" w:rsidRDefault="005735BE" w:rsidP="00F05E2A">
      <w:pPr>
        <w:pStyle w:val="ListParagraph"/>
        <w:numPr>
          <w:ilvl w:val="0"/>
          <w:numId w:val="30"/>
        </w:numPr>
        <w:autoSpaceDE w:val="0"/>
        <w:autoSpaceDN w:val="0"/>
        <w:adjustRightInd w:val="0"/>
        <w:spacing w:line="240" w:lineRule="auto"/>
        <w:jc w:val="both"/>
        <w:rPr>
          <w:rFonts w:ascii="Times New Roman" w:eastAsia="SimSun" w:hAnsi="Times New Roman" w:cs="Times New Roman"/>
          <w:sz w:val="24"/>
          <w:szCs w:val="24"/>
          <w:lang w:val="en-GB" w:eastAsia="fr-BE"/>
        </w:rPr>
      </w:pPr>
      <w:r w:rsidRPr="00140779">
        <w:rPr>
          <w:rFonts w:ascii="Times New Roman" w:eastAsia="SimSun" w:hAnsi="Times New Roman" w:cs="Times New Roman"/>
          <w:sz w:val="24"/>
          <w:szCs w:val="24"/>
          <w:lang w:val="en-GB" w:eastAsia="fr-BE"/>
        </w:rPr>
        <w:t>Adverse reactions reported in osteoarthritis patients and rheumatoid arthritis patients at incidence rates greater than 0.01</w:t>
      </w:r>
      <w:r w:rsidR="00DA3148" w:rsidRPr="00140779">
        <w:rPr>
          <w:rFonts w:ascii="Times New Roman" w:eastAsia="SimSun" w:hAnsi="Times New Roman" w:cs="Times New Roman"/>
          <w:sz w:val="24"/>
          <w:szCs w:val="24"/>
          <w:lang w:val="en-GB" w:eastAsia="fr-BE"/>
        </w:rPr>
        <w:t xml:space="preserve"> </w:t>
      </w:r>
      <w:r w:rsidRPr="00140779">
        <w:rPr>
          <w:rFonts w:ascii="Times New Roman" w:eastAsia="SimSun" w:hAnsi="Times New Roman" w:cs="Times New Roman"/>
          <w:sz w:val="24"/>
          <w:szCs w:val="24"/>
          <w:lang w:val="en-GB" w:eastAsia="fr-BE"/>
        </w:rPr>
        <w:t xml:space="preserve">% and greater than those reported for placebo during 12 placebo- and/or </w:t>
      </w:r>
      <w:r w:rsidR="002C23CE" w:rsidRPr="00180EC2">
        <w:rPr>
          <w:rFonts w:ascii="Times New Roman" w:eastAsia="SimSun" w:hAnsi="Times New Roman" w:cs="Times New Roman"/>
          <w:sz w:val="24"/>
          <w:szCs w:val="24"/>
          <w:lang w:val="en-GB" w:eastAsia="fr-BE"/>
        </w:rPr>
        <w:t>active controlled</w:t>
      </w:r>
      <w:r w:rsidRPr="00140779">
        <w:rPr>
          <w:rFonts w:ascii="Times New Roman" w:eastAsia="SimSun" w:hAnsi="Times New Roman" w:cs="Times New Roman"/>
          <w:sz w:val="24"/>
          <w:szCs w:val="24"/>
          <w:lang w:val="en-GB" w:eastAsia="fr-BE"/>
        </w:rPr>
        <w:t xml:space="preserve"> clinical trials of duration up to 12 weeks at celecoxib daily doses from 100 mg up to 800 mg. In additional studies using nonselective NSAID comparators, approximately 7400 arthritis patients have been treated with celecoxib at daily doses up to 800 mg, including approximately 2300 patients treated for 1 year or longer. The adverse reactions observed with celecoxib in these additional studies were consistent with those for osteoarthritis and rheumatoid arthritis patients listed in </w:t>
      </w:r>
      <w:r w:rsidRPr="00140779">
        <w:rPr>
          <w:rFonts w:ascii="Times New Roman" w:eastAsia="SimSun" w:hAnsi="Times New Roman" w:cs="Times New Roman"/>
          <w:b/>
          <w:bCs/>
          <w:sz w:val="24"/>
          <w:szCs w:val="24"/>
          <w:lang w:val="en-GB" w:eastAsia="fr-BE"/>
        </w:rPr>
        <w:t>Table 1</w:t>
      </w:r>
      <w:r w:rsidRPr="00140779">
        <w:rPr>
          <w:rFonts w:ascii="Times New Roman" w:eastAsia="SimSun" w:hAnsi="Times New Roman" w:cs="Times New Roman"/>
          <w:sz w:val="24"/>
          <w:szCs w:val="24"/>
          <w:lang w:val="en-GB" w:eastAsia="fr-BE"/>
        </w:rPr>
        <w:t>.</w:t>
      </w:r>
    </w:p>
    <w:p w:rsidR="005735BE" w:rsidRPr="00140779" w:rsidRDefault="005735BE" w:rsidP="00F05E2A">
      <w:pPr>
        <w:tabs>
          <w:tab w:val="clear" w:pos="567"/>
        </w:tabs>
        <w:autoSpaceDE w:val="0"/>
        <w:autoSpaceDN w:val="0"/>
        <w:adjustRightInd w:val="0"/>
        <w:spacing w:line="240" w:lineRule="auto"/>
        <w:jc w:val="both"/>
        <w:rPr>
          <w:rFonts w:ascii="Symbol" w:eastAsia="SimSun" w:hAnsi="Symbol" w:cs="Symbol"/>
          <w:sz w:val="24"/>
          <w:szCs w:val="24"/>
          <w:lang w:eastAsia="fr-BE"/>
        </w:rPr>
      </w:pPr>
    </w:p>
    <w:p w:rsidR="005735BE" w:rsidRPr="00140779" w:rsidRDefault="005735BE" w:rsidP="00F05E2A">
      <w:pPr>
        <w:pStyle w:val="ListParagraph"/>
        <w:numPr>
          <w:ilvl w:val="0"/>
          <w:numId w:val="29"/>
        </w:numPr>
        <w:autoSpaceDE w:val="0"/>
        <w:autoSpaceDN w:val="0"/>
        <w:adjustRightInd w:val="0"/>
        <w:spacing w:line="240" w:lineRule="auto"/>
        <w:jc w:val="both"/>
        <w:rPr>
          <w:rFonts w:ascii="Times New Roman" w:eastAsia="SimSun" w:hAnsi="Times New Roman" w:cs="Times New Roman"/>
          <w:sz w:val="24"/>
          <w:szCs w:val="24"/>
          <w:lang w:val="en-GB" w:eastAsia="fr-BE"/>
        </w:rPr>
      </w:pPr>
      <w:r w:rsidRPr="00140779">
        <w:rPr>
          <w:rFonts w:ascii="Times New Roman" w:eastAsia="SimSun" w:hAnsi="Times New Roman" w:cs="Times New Roman"/>
          <w:sz w:val="24"/>
          <w:szCs w:val="24"/>
          <w:lang w:val="en-GB" w:eastAsia="fr-BE"/>
        </w:rPr>
        <w:lastRenderedPageBreak/>
        <w:t>Adverse reactions reported at incidence rates greater than placebo for subjects treated with celecoxib 400 mg daily in long-term polyp prevention trials of duration up to 3 years (the APC and PreSAP trials; see Section 5.1, Pharmacodynamic properties: Cardiovascular Safety – Long-Term Studies Involving Patients With Sporadic Adenomatous Polyps).</w:t>
      </w:r>
    </w:p>
    <w:p w:rsidR="005735BE" w:rsidRPr="00140779" w:rsidRDefault="005735BE" w:rsidP="00F05E2A">
      <w:pPr>
        <w:tabs>
          <w:tab w:val="clear" w:pos="567"/>
        </w:tabs>
        <w:autoSpaceDE w:val="0"/>
        <w:autoSpaceDN w:val="0"/>
        <w:adjustRightInd w:val="0"/>
        <w:spacing w:line="240" w:lineRule="auto"/>
        <w:jc w:val="both"/>
        <w:rPr>
          <w:rFonts w:ascii="Symbol" w:eastAsia="SimSun" w:hAnsi="Symbol" w:cs="Symbol"/>
          <w:sz w:val="24"/>
          <w:szCs w:val="24"/>
          <w:lang w:eastAsia="fr-BE"/>
        </w:rPr>
      </w:pPr>
    </w:p>
    <w:p w:rsidR="005735BE" w:rsidRPr="00140779" w:rsidRDefault="005735BE" w:rsidP="00F05E2A">
      <w:pPr>
        <w:pStyle w:val="ListParagraph"/>
        <w:numPr>
          <w:ilvl w:val="0"/>
          <w:numId w:val="29"/>
        </w:numPr>
        <w:autoSpaceDE w:val="0"/>
        <w:autoSpaceDN w:val="0"/>
        <w:adjustRightInd w:val="0"/>
        <w:spacing w:line="240" w:lineRule="auto"/>
        <w:jc w:val="both"/>
        <w:rPr>
          <w:rFonts w:ascii="Times New Roman" w:eastAsia="SimSun" w:hAnsi="Times New Roman" w:cs="Times New Roman"/>
          <w:sz w:val="24"/>
          <w:szCs w:val="24"/>
          <w:lang w:val="en-GB" w:eastAsia="fr-BE"/>
        </w:rPr>
      </w:pPr>
      <w:r w:rsidRPr="00140779">
        <w:rPr>
          <w:rFonts w:ascii="Times New Roman" w:eastAsia="SimSun" w:hAnsi="Times New Roman" w:cs="Times New Roman"/>
          <w:sz w:val="24"/>
          <w:szCs w:val="24"/>
          <w:lang w:val="en-GB" w:eastAsia="fr-BE"/>
        </w:rPr>
        <w:t>Adverse drug reactions from post-marketing surveillance as spontaneously reported during a period in which an estimated &gt;70 million patients were treated with celecoxib (various doses, durations, and indications). Because not all adverse drug reactions are reported to the MAH and included in the safety database, the frequencies of these reactions cannot be reliably determined.</w:t>
      </w:r>
    </w:p>
    <w:p w:rsidR="00DA3148" w:rsidRPr="00140779" w:rsidRDefault="00DA3148" w:rsidP="00140779">
      <w:pPr>
        <w:tabs>
          <w:tab w:val="clear" w:pos="567"/>
        </w:tabs>
        <w:autoSpaceDE w:val="0"/>
        <w:autoSpaceDN w:val="0"/>
        <w:adjustRightInd w:val="0"/>
        <w:spacing w:line="240" w:lineRule="auto"/>
        <w:jc w:val="both"/>
        <w:rPr>
          <w:rFonts w:eastAsia="SimSun"/>
          <w:sz w:val="24"/>
          <w:szCs w:val="24"/>
          <w:lang w:eastAsia="fr-BE"/>
        </w:rPr>
      </w:pPr>
      <w:r w:rsidRPr="00140779">
        <w:rPr>
          <w:rFonts w:eastAsia="SimSun"/>
          <w:sz w:val="24"/>
          <w:szCs w:val="24"/>
          <w:lang w:eastAsia="fr-BE"/>
        </w:rPr>
        <w:t>The following table summarises adverse drug reactions of celecoxib divided into groups according to MedDRA terminology together with their frequency: very common (</w:t>
      </w:r>
      <w:r w:rsidRPr="00140779">
        <w:rPr>
          <w:rFonts w:ascii="T4" w:eastAsia="T4" w:cs="T4"/>
          <w:sz w:val="24"/>
          <w:szCs w:val="24"/>
          <w:lang w:eastAsia="fr-BE"/>
        </w:rPr>
        <w:t>≥</w:t>
      </w:r>
      <w:r w:rsidRPr="00140779">
        <w:rPr>
          <w:rFonts w:ascii="T4" w:eastAsia="T4" w:cs="T4"/>
          <w:sz w:val="24"/>
          <w:szCs w:val="24"/>
          <w:lang w:eastAsia="fr-BE"/>
        </w:rPr>
        <w:t xml:space="preserve"> </w:t>
      </w:r>
      <w:r w:rsidRPr="00140779">
        <w:rPr>
          <w:rFonts w:eastAsia="SimSun"/>
          <w:sz w:val="24"/>
          <w:szCs w:val="24"/>
          <w:lang w:eastAsia="fr-BE"/>
        </w:rPr>
        <w:t>1/10); common (</w:t>
      </w:r>
      <w:r w:rsidRPr="00140779">
        <w:rPr>
          <w:rFonts w:ascii="T4" w:eastAsia="T4" w:cs="T4"/>
          <w:sz w:val="24"/>
          <w:szCs w:val="24"/>
          <w:lang w:eastAsia="fr-BE"/>
        </w:rPr>
        <w:t>≥</w:t>
      </w:r>
      <w:r w:rsidRPr="00140779">
        <w:rPr>
          <w:rFonts w:ascii="T4" w:eastAsia="T4" w:cs="T4"/>
          <w:sz w:val="24"/>
          <w:szCs w:val="24"/>
          <w:lang w:eastAsia="fr-BE"/>
        </w:rPr>
        <w:t xml:space="preserve"> </w:t>
      </w:r>
      <w:r w:rsidRPr="00140779">
        <w:rPr>
          <w:rFonts w:eastAsia="SimSun"/>
          <w:sz w:val="24"/>
          <w:szCs w:val="24"/>
          <w:lang w:eastAsia="fr-BE"/>
        </w:rPr>
        <w:t>1/100 to &lt; 1/10); uncommon (</w:t>
      </w:r>
      <w:r w:rsidRPr="00140779">
        <w:rPr>
          <w:rFonts w:ascii="T4" w:eastAsia="T4" w:cs="T4"/>
          <w:sz w:val="24"/>
          <w:szCs w:val="24"/>
          <w:lang w:eastAsia="fr-BE"/>
        </w:rPr>
        <w:t>≥</w:t>
      </w:r>
      <w:r w:rsidRPr="00140779">
        <w:rPr>
          <w:rFonts w:ascii="T4" w:eastAsia="T4" w:cs="T4"/>
          <w:sz w:val="24"/>
          <w:szCs w:val="24"/>
          <w:lang w:eastAsia="fr-BE"/>
        </w:rPr>
        <w:t xml:space="preserve"> </w:t>
      </w:r>
      <w:r w:rsidRPr="00140779">
        <w:rPr>
          <w:rFonts w:eastAsia="SimSun"/>
          <w:sz w:val="24"/>
          <w:szCs w:val="24"/>
          <w:lang w:eastAsia="fr-BE"/>
        </w:rPr>
        <w:t>1/1,000 to &lt; 1/100); rare (</w:t>
      </w:r>
      <w:r w:rsidRPr="00140779">
        <w:rPr>
          <w:rFonts w:ascii="T4" w:eastAsia="T4" w:cs="T4"/>
          <w:sz w:val="24"/>
          <w:szCs w:val="24"/>
          <w:lang w:eastAsia="fr-BE"/>
        </w:rPr>
        <w:t>≥</w:t>
      </w:r>
      <w:r w:rsidRPr="00140779">
        <w:rPr>
          <w:rFonts w:ascii="T4" w:eastAsia="T4" w:cs="T4"/>
          <w:sz w:val="24"/>
          <w:szCs w:val="24"/>
          <w:lang w:eastAsia="fr-BE"/>
        </w:rPr>
        <w:t xml:space="preserve"> </w:t>
      </w:r>
      <w:r w:rsidRPr="00140779">
        <w:rPr>
          <w:rFonts w:eastAsia="SimSun"/>
          <w:sz w:val="24"/>
          <w:szCs w:val="24"/>
          <w:lang w:eastAsia="fr-BE"/>
        </w:rPr>
        <w:t xml:space="preserve">1/10,000 to &lt; 1/1,000); very rare (&lt;1/10,000), not known (cannot be estimated from the available </w:t>
      </w:r>
      <w:r w:rsidR="002C23CE" w:rsidRPr="000A6951">
        <w:rPr>
          <w:rFonts w:eastAsia="SimSun"/>
          <w:sz w:val="24"/>
          <w:szCs w:val="24"/>
          <w:lang w:eastAsia="fr-BE"/>
        </w:rPr>
        <w:t>data Post</w:t>
      </w:r>
      <w:r w:rsidRPr="00140779">
        <w:rPr>
          <w:rFonts w:eastAsia="SimSun"/>
          <w:sz w:val="24"/>
          <w:szCs w:val="24"/>
          <w:lang w:eastAsia="fr-BE"/>
        </w:rPr>
        <w:t>-marketing experience):</w:t>
      </w:r>
    </w:p>
    <w:p w:rsidR="00DA3148" w:rsidRPr="00140779" w:rsidRDefault="00DA3148" w:rsidP="00140779">
      <w:pPr>
        <w:autoSpaceDE w:val="0"/>
        <w:autoSpaceDN w:val="0"/>
        <w:adjustRightInd w:val="0"/>
        <w:spacing w:line="240" w:lineRule="auto"/>
        <w:jc w:val="both"/>
        <w:rPr>
          <w:rFonts w:eastAsia="SimSun"/>
          <w:sz w:val="24"/>
          <w:szCs w:val="24"/>
          <w:lang w:eastAsia="fr-BE"/>
        </w:rPr>
      </w:pPr>
    </w:p>
    <w:p w:rsidR="005735BE" w:rsidRPr="00140779" w:rsidRDefault="005735BE" w:rsidP="005735BE">
      <w:pPr>
        <w:tabs>
          <w:tab w:val="clear" w:pos="567"/>
        </w:tabs>
        <w:autoSpaceDE w:val="0"/>
        <w:autoSpaceDN w:val="0"/>
        <w:adjustRightInd w:val="0"/>
        <w:spacing w:line="240" w:lineRule="auto"/>
        <w:rPr>
          <w:rFonts w:eastAsia="SimSun"/>
          <w:b/>
          <w:bCs/>
          <w:sz w:val="24"/>
          <w:szCs w:val="24"/>
          <w:lang w:eastAsia="fr-BE"/>
        </w:rPr>
      </w:pPr>
      <w:r w:rsidRPr="00140779">
        <w:rPr>
          <w:rFonts w:eastAsia="SimSun"/>
          <w:b/>
          <w:bCs/>
          <w:sz w:val="24"/>
          <w:szCs w:val="24"/>
          <w:lang w:eastAsia="fr-BE"/>
        </w:rPr>
        <w:t>Table 1. Adverse Drug Reactions in Celecoxib Clinical Trials and</w:t>
      </w:r>
    </w:p>
    <w:p w:rsidR="00812D16" w:rsidRPr="00180EC2" w:rsidRDefault="005735BE" w:rsidP="005735BE">
      <w:pPr>
        <w:ind w:left="567" w:hanging="567"/>
        <w:outlineLvl w:val="0"/>
        <w:rPr>
          <w:noProof/>
          <w:szCs w:val="22"/>
        </w:rPr>
      </w:pPr>
      <w:r w:rsidRPr="00140779">
        <w:rPr>
          <w:rFonts w:eastAsia="SimSun"/>
          <w:b/>
          <w:bCs/>
          <w:sz w:val="24"/>
          <w:szCs w:val="24"/>
          <w:lang w:eastAsia="fr-BE"/>
        </w:rPr>
        <w:t>Surveillance Experience (MedDRA Preferred Terms)</w:t>
      </w:r>
      <w:r w:rsidRPr="00140779">
        <w:rPr>
          <w:rFonts w:eastAsia="SimSun"/>
          <w:b/>
          <w:bCs/>
          <w:sz w:val="16"/>
          <w:szCs w:val="16"/>
          <w:vertAlign w:val="superscript"/>
          <w:lang w:eastAsia="fr-BE"/>
        </w:rPr>
        <w:t>1,</w:t>
      </w:r>
    </w:p>
    <w:p w:rsidR="00812D16" w:rsidRPr="00180EC2" w:rsidRDefault="00812D16" w:rsidP="006B4557">
      <w:pPr>
        <w:rPr>
          <w:noProof/>
          <w:szCs w:val="22"/>
        </w:rPr>
      </w:pPr>
    </w:p>
    <w:tbl>
      <w:tblPr>
        <w:tblStyle w:val="TableGrid"/>
        <w:tblW w:w="0" w:type="auto"/>
        <w:tblLayout w:type="fixed"/>
        <w:tblLook w:val="04A0" w:firstRow="1" w:lastRow="0" w:firstColumn="1" w:lastColumn="0" w:noHBand="0" w:noVBand="1"/>
      </w:tblPr>
      <w:tblGrid>
        <w:gridCol w:w="1465"/>
        <w:gridCol w:w="1443"/>
        <w:gridCol w:w="1606"/>
        <w:gridCol w:w="1833"/>
        <w:gridCol w:w="1660"/>
        <w:gridCol w:w="1622"/>
      </w:tblGrid>
      <w:tr w:rsidR="00127C19" w:rsidRPr="00180EC2" w:rsidTr="00140779">
        <w:tc>
          <w:tcPr>
            <w:tcW w:w="8007" w:type="dxa"/>
            <w:gridSpan w:val="5"/>
          </w:tcPr>
          <w:p w:rsidR="00127C19" w:rsidRPr="00180EC2" w:rsidRDefault="00127C19" w:rsidP="00933705">
            <w:pPr>
              <w:jc w:val="center"/>
              <w:rPr>
                <w:b/>
                <w:noProof/>
                <w:szCs w:val="22"/>
              </w:rPr>
            </w:pPr>
            <w:r w:rsidRPr="00180EC2">
              <w:rPr>
                <w:b/>
                <w:noProof/>
                <w:szCs w:val="22"/>
              </w:rPr>
              <w:t>Adverse Drug Reaction Frequency</w:t>
            </w:r>
          </w:p>
        </w:tc>
        <w:tc>
          <w:tcPr>
            <w:tcW w:w="1622" w:type="dxa"/>
          </w:tcPr>
          <w:p w:rsidR="00127C19" w:rsidRPr="00180EC2" w:rsidRDefault="00127C19" w:rsidP="00933705">
            <w:pPr>
              <w:jc w:val="center"/>
              <w:rPr>
                <w:b/>
                <w:noProof/>
                <w:szCs w:val="22"/>
              </w:rPr>
            </w:pPr>
          </w:p>
        </w:tc>
      </w:tr>
      <w:tr w:rsidR="00127C19" w:rsidRPr="00180EC2" w:rsidTr="00140779">
        <w:tc>
          <w:tcPr>
            <w:tcW w:w="1465" w:type="dxa"/>
          </w:tcPr>
          <w:p w:rsidR="00127C19" w:rsidRPr="00180EC2" w:rsidRDefault="00127C19" w:rsidP="00933705">
            <w:pPr>
              <w:jc w:val="center"/>
              <w:rPr>
                <w:noProof/>
                <w:szCs w:val="22"/>
              </w:rPr>
            </w:pPr>
            <w:r w:rsidRPr="00180EC2">
              <w:rPr>
                <w:b/>
                <w:noProof/>
                <w:szCs w:val="22"/>
              </w:rPr>
              <w:t xml:space="preserve">Very Common </w:t>
            </w:r>
            <w:r w:rsidRPr="00180EC2">
              <w:rPr>
                <w:noProof/>
                <w:szCs w:val="22"/>
              </w:rPr>
              <w:t>(≥1/10)</w:t>
            </w:r>
          </w:p>
        </w:tc>
        <w:tc>
          <w:tcPr>
            <w:tcW w:w="1443" w:type="dxa"/>
          </w:tcPr>
          <w:p w:rsidR="00127C19" w:rsidRPr="00180EC2" w:rsidRDefault="00127C19" w:rsidP="00933705">
            <w:pPr>
              <w:jc w:val="center"/>
              <w:rPr>
                <w:b/>
                <w:noProof/>
                <w:szCs w:val="22"/>
              </w:rPr>
            </w:pPr>
            <w:r w:rsidRPr="00180EC2">
              <w:rPr>
                <w:b/>
                <w:noProof/>
                <w:szCs w:val="22"/>
              </w:rPr>
              <w:t xml:space="preserve">Common </w:t>
            </w:r>
          </w:p>
          <w:p w:rsidR="00127C19" w:rsidRPr="00180EC2" w:rsidRDefault="00127C19" w:rsidP="00933705">
            <w:pPr>
              <w:jc w:val="center"/>
              <w:rPr>
                <w:noProof/>
                <w:szCs w:val="22"/>
              </w:rPr>
            </w:pPr>
            <w:r w:rsidRPr="00180EC2">
              <w:rPr>
                <w:noProof/>
                <w:szCs w:val="22"/>
              </w:rPr>
              <w:t>(≥ 1/1000 to &lt; 1/100)</w:t>
            </w:r>
          </w:p>
        </w:tc>
        <w:tc>
          <w:tcPr>
            <w:tcW w:w="1606" w:type="dxa"/>
          </w:tcPr>
          <w:p w:rsidR="00127C19" w:rsidRPr="00180EC2" w:rsidRDefault="00127C19" w:rsidP="00933705">
            <w:pPr>
              <w:jc w:val="center"/>
              <w:rPr>
                <w:noProof/>
                <w:szCs w:val="22"/>
              </w:rPr>
            </w:pPr>
            <w:r w:rsidRPr="00180EC2">
              <w:rPr>
                <w:b/>
                <w:noProof/>
                <w:szCs w:val="22"/>
              </w:rPr>
              <w:t xml:space="preserve">Uncommon </w:t>
            </w:r>
            <w:r w:rsidRPr="00180EC2">
              <w:rPr>
                <w:noProof/>
                <w:szCs w:val="22"/>
              </w:rPr>
              <w:t>(≥1/1000 to &lt; 1/100)</w:t>
            </w:r>
          </w:p>
        </w:tc>
        <w:tc>
          <w:tcPr>
            <w:tcW w:w="1833" w:type="dxa"/>
          </w:tcPr>
          <w:p w:rsidR="00127C19" w:rsidRPr="00180EC2" w:rsidRDefault="00127C19" w:rsidP="00933705">
            <w:pPr>
              <w:jc w:val="center"/>
              <w:rPr>
                <w:b/>
                <w:noProof/>
                <w:szCs w:val="22"/>
              </w:rPr>
            </w:pPr>
            <w:r w:rsidRPr="00180EC2">
              <w:rPr>
                <w:b/>
                <w:noProof/>
                <w:szCs w:val="22"/>
              </w:rPr>
              <w:t xml:space="preserve">Rare </w:t>
            </w:r>
          </w:p>
          <w:p w:rsidR="00127C19" w:rsidRPr="00180EC2" w:rsidRDefault="00127C19" w:rsidP="00933705">
            <w:pPr>
              <w:jc w:val="center"/>
              <w:rPr>
                <w:i/>
                <w:noProof/>
                <w:szCs w:val="22"/>
              </w:rPr>
            </w:pPr>
            <w:r w:rsidRPr="00180EC2">
              <w:rPr>
                <w:noProof/>
                <w:szCs w:val="22"/>
              </w:rPr>
              <w:t>(≥ 1/10,000 to &lt; 1/1000)</w:t>
            </w:r>
          </w:p>
        </w:tc>
        <w:tc>
          <w:tcPr>
            <w:tcW w:w="1660" w:type="dxa"/>
          </w:tcPr>
          <w:p w:rsidR="00127C19" w:rsidRPr="00180EC2" w:rsidRDefault="00127C19" w:rsidP="00933705">
            <w:pPr>
              <w:jc w:val="center"/>
              <w:rPr>
                <w:noProof/>
                <w:szCs w:val="22"/>
              </w:rPr>
            </w:pPr>
            <w:r w:rsidRPr="00180EC2">
              <w:rPr>
                <w:b/>
                <w:noProof/>
                <w:szCs w:val="22"/>
              </w:rPr>
              <w:t xml:space="preserve">Very rare </w:t>
            </w:r>
            <w:r w:rsidRPr="00180EC2">
              <w:rPr>
                <w:rFonts w:eastAsia="SimSun"/>
                <w:sz w:val="24"/>
                <w:szCs w:val="24"/>
                <w:lang w:eastAsia="fr-BE"/>
              </w:rPr>
              <w:t>(&lt;1/10,000)</w:t>
            </w:r>
          </w:p>
          <w:p w:rsidR="00127C19" w:rsidRPr="00180EC2" w:rsidRDefault="00127C19" w:rsidP="00933705">
            <w:pPr>
              <w:jc w:val="center"/>
              <w:rPr>
                <w:noProof/>
                <w:szCs w:val="22"/>
              </w:rPr>
            </w:pPr>
          </w:p>
        </w:tc>
        <w:tc>
          <w:tcPr>
            <w:tcW w:w="1622" w:type="dxa"/>
          </w:tcPr>
          <w:p w:rsidR="00127C19" w:rsidRPr="00180EC2" w:rsidRDefault="00127C19" w:rsidP="00933705">
            <w:pPr>
              <w:jc w:val="center"/>
              <w:rPr>
                <w:b/>
                <w:noProof/>
                <w:szCs w:val="22"/>
              </w:rPr>
            </w:pPr>
            <w:r w:rsidRPr="00180EC2">
              <w:rPr>
                <w:b/>
                <w:noProof/>
                <w:szCs w:val="22"/>
              </w:rPr>
              <w:t xml:space="preserve">Frequency Not Known </w:t>
            </w:r>
            <w:r w:rsidRPr="00180EC2">
              <w:rPr>
                <w:noProof/>
                <w:szCs w:val="22"/>
              </w:rPr>
              <w:t>(Post-marketin experience)³</w:t>
            </w:r>
          </w:p>
        </w:tc>
      </w:tr>
      <w:tr w:rsidR="00127C19" w:rsidRPr="00180EC2" w:rsidTr="00140779">
        <w:tc>
          <w:tcPr>
            <w:tcW w:w="8007" w:type="dxa"/>
            <w:gridSpan w:val="5"/>
          </w:tcPr>
          <w:p w:rsidR="00127C19" w:rsidRPr="00180EC2" w:rsidRDefault="00127C19" w:rsidP="006B4557">
            <w:pPr>
              <w:rPr>
                <w:noProof/>
                <w:szCs w:val="22"/>
              </w:rPr>
            </w:pPr>
            <w:r w:rsidRPr="00180EC2">
              <w:rPr>
                <w:b/>
                <w:noProof/>
                <w:szCs w:val="22"/>
              </w:rPr>
              <w:t>Infections</w:t>
            </w:r>
            <w:r w:rsidRPr="00180EC2">
              <w:rPr>
                <w:noProof/>
                <w:szCs w:val="22"/>
              </w:rPr>
              <w:t xml:space="preserve"> </w:t>
            </w:r>
            <w:r w:rsidRPr="00180EC2">
              <w:rPr>
                <w:b/>
                <w:noProof/>
                <w:szCs w:val="22"/>
              </w:rPr>
              <w:t>and infestations</w:t>
            </w:r>
          </w:p>
        </w:tc>
        <w:tc>
          <w:tcPr>
            <w:tcW w:w="1622" w:type="dxa"/>
          </w:tcPr>
          <w:p w:rsidR="00127C19" w:rsidRPr="00180EC2" w:rsidRDefault="00127C19" w:rsidP="006B4557">
            <w:pPr>
              <w:rPr>
                <w:b/>
                <w:noProof/>
                <w:szCs w:val="22"/>
              </w:rPr>
            </w:pPr>
          </w:p>
        </w:tc>
      </w:tr>
      <w:tr w:rsidR="00127C19" w:rsidRPr="00180EC2" w:rsidTr="00140779">
        <w:tc>
          <w:tcPr>
            <w:tcW w:w="1465" w:type="dxa"/>
          </w:tcPr>
          <w:p w:rsidR="00127C19" w:rsidRPr="00180EC2" w:rsidRDefault="00127C19" w:rsidP="006B4557">
            <w:pPr>
              <w:rPr>
                <w:noProof/>
                <w:szCs w:val="22"/>
              </w:rPr>
            </w:pPr>
          </w:p>
        </w:tc>
        <w:tc>
          <w:tcPr>
            <w:tcW w:w="1443" w:type="dxa"/>
          </w:tcPr>
          <w:p w:rsidR="00127C19" w:rsidRPr="00180EC2" w:rsidRDefault="00127C19" w:rsidP="006B4557">
            <w:pPr>
              <w:rPr>
                <w:noProof/>
                <w:szCs w:val="22"/>
              </w:rPr>
            </w:pPr>
            <w:r w:rsidRPr="00180EC2">
              <w:rPr>
                <w:noProof/>
                <w:szCs w:val="22"/>
              </w:rPr>
              <w:t>Sinusitis, upper respiratory tract infection, pharyngitis, urinary tract infection</w:t>
            </w:r>
          </w:p>
        </w:tc>
        <w:tc>
          <w:tcPr>
            <w:tcW w:w="1606" w:type="dxa"/>
          </w:tcPr>
          <w:p w:rsidR="00127C19" w:rsidRPr="00180EC2" w:rsidRDefault="00127C19" w:rsidP="006B4557">
            <w:pPr>
              <w:rPr>
                <w:noProof/>
                <w:szCs w:val="22"/>
              </w:rPr>
            </w:pPr>
          </w:p>
        </w:tc>
        <w:tc>
          <w:tcPr>
            <w:tcW w:w="1833" w:type="dxa"/>
          </w:tcPr>
          <w:p w:rsidR="00127C19" w:rsidRPr="00180EC2" w:rsidRDefault="00127C19" w:rsidP="006B4557">
            <w:pPr>
              <w:rPr>
                <w:noProof/>
                <w:szCs w:val="22"/>
              </w:rPr>
            </w:pPr>
          </w:p>
        </w:tc>
        <w:tc>
          <w:tcPr>
            <w:tcW w:w="1660" w:type="dxa"/>
          </w:tcPr>
          <w:p w:rsidR="00127C19" w:rsidRPr="00180EC2" w:rsidRDefault="00127C19" w:rsidP="006B4557">
            <w:pPr>
              <w:rPr>
                <w:noProof/>
                <w:szCs w:val="22"/>
              </w:rPr>
            </w:pPr>
          </w:p>
        </w:tc>
        <w:tc>
          <w:tcPr>
            <w:tcW w:w="1622" w:type="dxa"/>
          </w:tcPr>
          <w:p w:rsidR="00127C19" w:rsidRPr="00180EC2" w:rsidRDefault="00127C19" w:rsidP="006B4557">
            <w:pPr>
              <w:rPr>
                <w:noProof/>
                <w:szCs w:val="22"/>
              </w:rPr>
            </w:pPr>
          </w:p>
        </w:tc>
      </w:tr>
      <w:tr w:rsidR="00127C19" w:rsidRPr="00180EC2" w:rsidTr="00140779">
        <w:tc>
          <w:tcPr>
            <w:tcW w:w="8007" w:type="dxa"/>
            <w:gridSpan w:val="5"/>
          </w:tcPr>
          <w:p w:rsidR="00127C19" w:rsidRPr="00180EC2" w:rsidRDefault="00127C19" w:rsidP="006B4557">
            <w:pPr>
              <w:rPr>
                <w:b/>
                <w:noProof/>
                <w:szCs w:val="22"/>
              </w:rPr>
            </w:pPr>
            <w:r w:rsidRPr="00180EC2">
              <w:rPr>
                <w:b/>
                <w:noProof/>
                <w:szCs w:val="22"/>
              </w:rPr>
              <w:t>Blood and lymphatic system disorders</w:t>
            </w:r>
          </w:p>
        </w:tc>
        <w:tc>
          <w:tcPr>
            <w:tcW w:w="1622" w:type="dxa"/>
          </w:tcPr>
          <w:p w:rsidR="00127C19" w:rsidRPr="00180EC2" w:rsidRDefault="00127C19" w:rsidP="006B4557">
            <w:pPr>
              <w:rPr>
                <w:b/>
                <w:noProof/>
                <w:szCs w:val="22"/>
              </w:rPr>
            </w:pPr>
          </w:p>
        </w:tc>
      </w:tr>
      <w:tr w:rsidR="00127C19" w:rsidRPr="00180EC2" w:rsidTr="00140779">
        <w:tc>
          <w:tcPr>
            <w:tcW w:w="1465" w:type="dxa"/>
          </w:tcPr>
          <w:p w:rsidR="00127C19" w:rsidRPr="00180EC2" w:rsidRDefault="00127C19" w:rsidP="006B4557">
            <w:pPr>
              <w:rPr>
                <w:noProof/>
                <w:szCs w:val="22"/>
              </w:rPr>
            </w:pPr>
          </w:p>
        </w:tc>
        <w:tc>
          <w:tcPr>
            <w:tcW w:w="1443" w:type="dxa"/>
          </w:tcPr>
          <w:p w:rsidR="00127C19" w:rsidRPr="00180EC2" w:rsidRDefault="00127C19" w:rsidP="006B4557">
            <w:pPr>
              <w:rPr>
                <w:noProof/>
                <w:szCs w:val="22"/>
              </w:rPr>
            </w:pPr>
          </w:p>
        </w:tc>
        <w:tc>
          <w:tcPr>
            <w:tcW w:w="1606" w:type="dxa"/>
          </w:tcPr>
          <w:p w:rsidR="00127C19" w:rsidRPr="00180EC2" w:rsidRDefault="00127C19" w:rsidP="006B4557">
            <w:pPr>
              <w:rPr>
                <w:noProof/>
                <w:szCs w:val="22"/>
              </w:rPr>
            </w:pPr>
            <w:r w:rsidRPr="00180EC2">
              <w:rPr>
                <w:noProof/>
                <w:szCs w:val="22"/>
              </w:rPr>
              <w:t>Anaemia</w:t>
            </w:r>
          </w:p>
        </w:tc>
        <w:tc>
          <w:tcPr>
            <w:tcW w:w="1833" w:type="dxa"/>
          </w:tcPr>
          <w:p w:rsidR="00127C19" w:rsidRPr="00180EC2" w:rsidRDefault="00127C19" w:rsidP="006B4557">
            <w:pPr>
              <w:rPr>
                <w:noProof/>
                <w:szCs w:val="22"/>
              </w:rPr>
            </w:pPr>
            <w:r w:rsidRPr="00180EC2">
              <w:rPr>
                <w:noProof/>
                <w:szCs w:val="22"/>
              </w:rPr>
              <w:t>Leucopenia, thrombocytopenia</w:t>
            </w:r>
          </w:p>
        </w:tc>
        <w:tc>
          <w:tcPr>
            <w:tcW w:w="1660" w:type="dxa"/>
          </w:tcPr>
          <w:p w:rsidR="00127C19" w:rsidRPr="00180EC2" w:rsidRDefault="00127C19" w:rsidP="006B4557">
            <w:pPr>
              <w:rPr>
                <w:noProof/>
                <w:szCs w:val="22"/>
              </w:rPr>
            </w:pPr>
            <w:r w:rsidRPr="00180EC2">
              <w:rPr>
                <w:noProof/>
                <w:szCs w:val="22"/>
              </w:rPr>
              <w:t>Pancytopenia</w:t>
            </w:r>
            <w:r w:rsidRPr="00180EC2">
              <w:rPr>
                <w:noProof/>
                <w:szCs w:val="22"/>
                <w:vertAlign w:val="superscript"/>
              </w:rPr>
              <w:t>4</w:t>
            </w:r>
            <w:r w:rsidRPr="00180EC2" w:rsidDel="00127C19">
              <w:rPr>
                <w:noProof/>
                <w:szCs w:val="22"/>
              </w:rPr>
              <w:t xml:space="preserve"> </w:t>
            </w:r>
          </w:p>
        </w:tc>
        <w:tc>
          <w:tcPr>
            <w:tcW w:w="1622" w:type="dxa"/>
          </w:tcPr>
          <w:p w:rsidR="00127C19" w:rsidRPr="00180EC2" w:rsidRDefault="00127C19" w:rsidP="006B4557">
            <w:pPr>
              <w:rPr>
                <w:noProof/>
                <w:szCs w:val="22"/>
              </w:rPr>
            </w:pPr>
          </w:p>
        </w:tc>
      </w:tr>
      <w:tr w:rsidR="00127C19" w:rsidRPr="00180EC2" w:rsidTr="00140779">
        <w:tc>
          <w:tcPr>
            <w:tcW w:w="8007" w:type="dxa"/>
            <w:gridSpan w:val="5"/>
          </w:tcPr>
          <w:p w:rsidR="00127C19" w:rsidRPr="00180EC2" w:rsidRDefault="00127C19" w:rsidP="006B4557">
            <w:pPr>
              <w:rPr>
                <w:b/>
                <w:noProof/>
                <w:szCs w:val="22"/>
              </w:rPr>
            </w:pPr>
            <w:r w:rsidRPr="00180EC2">
              <w:rPr>
                <w:b/>
                <w:noProof/>
                <w:szCs w:val="22"/>
              </w:rPr>
              <w:t>Immune system disorders</w:t>
            </w:r>
          </w:p>
        </w:tc>
        <w:tc>
          <w:tcPr>
            <w:tcW w:w="1622" w:type="dxa"/>
          </w:tcPr>
          <w:p w:rsidR="00127C19" w:rsidRPr="00180EC2" w:rsidRDefault="00127C19" w:rsidP="006B4557">
            <w:pPr>
              <w:rPr>
                <w:b/>
                <w:noProof/>
                <w:szCs w:val="22"/>
              </w:rPr>
            </w:pPr>
          </w:p>
        </w:tc>
      </w:tr>
      <w:tr w:rsidR="00127C19" w:rsidRPr="00180EC2" w:rsidTr="00140779">
        <w:tc>
          <w:tcPr>
            <w:tcW w:w="1465" w:type="dxa"/>
          </w:tcPr>
          <w:p w:rsidR="00127C19" w:rsidRPr="00180EC2" w:rsidRDefault="00127C19" w:rsidP="006B4557">
            <w:pPr>
              <w:rPr>
                <w:noProof/>
                <w:szCs w:val="22"/>
              </w:rPr>
            </w:pPr>
          </w:p>
        </w:tc>
        <w:tc>
          <w:tcPr>
            <w:tcW w:w="1443" w:type="dxa"/>
          </w:tcPr>
          <w:p w:rsidR="00127C19" w:rsidRPr="00180EC2" w:rsidRDefault="00127C19" w:rsidP="006B4557">
            <w:pPr>
              <w:rPr>
                <w:noProof/>
                <w:szCs w:val="22"/>
              </w:rPr>
            </w:pPr>
            <w:r w:rsidRPr="00180EC2">
              <w:rPr>
                <w:noProof/>
                <w:szCs w:val="22"/>
              </w:rPr>
              <w:t>Hypersensitivity</w:t>
            </w:r>
          </w:p>
        </w:tc>
        <w:tc>
          <w:tcPr>
            <w:tcW w:w="1606" w:type="dxa"/>
          </w:tcPr>
          <w:p w:rsidR="00127C19" w:rsidRPr="00180EC2" w:rsidRDefault="00127C19" w:rsidP="006B4557">
            <w:pPr>
              <w:rPr>
                <w:noProof/>
                <w:szCs w:val="22"/>
              </w:rPr>
            </w:pPr>
          </w:p>
        </w:tc>
        <w:tc>
          <w:tcPr>
            <w:tcW w:w="1833" w:type="dxa"/>
          </w:tcPr>
          <w:p w:rsidR="00127C19" w:rsidRPr="00180EC2" w:rsidRDefault="00127C19" w:rsidP="006B4557">
            <w:pPr>
              <w:rPr>
                <w:noProof/>
                <w:szCs w:val="22"/>
              </w:rPr>
            </w:pPr>
          </w:p>
        </w:tc>
        <w:tc>
          <w:tcPr>
            <w:tcW w:w="1660" w:type="dxa"/>
          </w:tcPr>
          <w:p w:rsidR="00127C19" w:rsidRPr="00180EC2" w:rsidRDefault="00127C19" w:rsidP="006B4557">
            <w:pPr>
              <w:rPr>
                <w:noProof/>
                <w:szCs w:val="22"/>
              </w:rPr>
            </w:pPr>
            <w:r w:rsidRPr="00180EC2">
              <w:rPr>
                <w:noProof/>
                <w:szCs w:val="22"/>
              </w:rPr>
              <w:t>Anaphylactic shock</w:t>
            </w:r>
            <w:r w:rsidRPr="00180EC2">
              <w:rPr>
                <w:noProof/>
                <w:szCs w:val="22"/>
                <w:vertAlign w:val="superscript"/>
              </w:rPr>
              <w:t>4</w:t>
            </w:r>
            <w:r w:rsidRPr="00180EC2">
              <w:rPr>
                <w:noProof/>
                <w:szCs w:val="22"/>
              </w:rPr>
              <w:t>, anaphylactic reaction</w:t>
            </w:r>
            <w:r w:rsidRPr="00180EC2">
              <w:rPr>
                <w:noProof/>
                <w:szCs w:val="22"/>
                <w:vertAlign w:val="superscript"/>
              </w:rPr>
              <w:t>4</w:t>
            </w:r>
          </w:p>
        </w:tc>
        <w:tc>
          <w:tcPr>
            <w:tcW w:w="1622" w:type="dxa"/>
          </w:tcPr>
          <w:p w:rsidR="00127C19" w:rsidRPr="00180EC2" w:rsidRDefault="00127C19" w:rsidP="006B4557">
            <w:pPr>
              <w:rPr>
                <w:noProof/>
                <w:szCs w:val="22"/>
              </w:rPr>
            </w:pPr>
          </w:p>
        </w:tc>
      </w:tr>
      <w:tr w:rsidR="00127C19" w:rsidRPr="00180EC2" w:rsidTr="00140779">
        <w:tc>
          <w:tcPr>
            <w:tcW w:w="8007" w:type="dxa"/>
            <w:gridSpan w:val="5"/>
          </w:tcPr>
          <w:p w:rsidR="00127C19" w:rsidRPr="00180EC2" w:rsidRDefault="00127C19" w:rsidP="006B4557">
            <w:pPr>
              <w:rPr>
                <w:b/>
                <w:noProof/>
                <w:szCs w:val="22"/>
              </w:rPr>
            </w:pPr>
            <w:r w:rsidRPr="00180EC2">
              <w:rPr>
                <w:b/>
                <w:noProof/>
                <w:szCs w:val="22"/>
              </w:rPr>
              <w:t>Metabolism and nutrition disorders</w:t>
            </w:r>
          </w:p>
        </w:tc>
        <w:tc>
          <w:tcPr>
            <w:tcW w:w="1622" w:type="dxa"/>
          </w:tcPr>
          <w:p w:rsidR="00127C19" w:rsidRPr="00180EC2" w:rsidRDefault="00127C19" w:rsidP="006B4557">
            <w:pPr>
              <w:rPr>
                <w:b/>
                <w:noProof/>
                <w:szCs w:val="22"/>
              </w:rPr>
            </w:pPr>
          </w:p>
        </w:tc>
      </w:tr>
      <w:tr w:rsidR="00127C19" w:rsidRPr="00180EC2" w:rsidTr="00140779">
        <w:tc>
          <w:tcPr>
            <w:tcW w:w="1465" w:type="dxa"/>
          </w:tcPr>
          <w:p w:rsidR="00127C19" w:rsidRPr="00180EC2" w:rsidRDefault="00127C19" w:rsidP="006B4557">
            <w:pPr>
              <w:rPr>
                <w:noProof/>
                <w:szCs w:val="22"/>
              </w:rPr>
            </w:pPr>
          </w:p>
        </w:tc>
        <w:tc>
          <w:tcPr>
            <w:tcW w:w="1443" w:type="dxa"/>
          </w:tcPr>
          <w:p w:rsidR="00127C19" w:rsidRPr="00180EC2" w:rsidRDefault="00127C19" w:rsidP="006B4557">
            <w:pPr>
              <w:rPr>
                <w:noProof/>
                <w:szCs w:val="22"/>
              </w:rPr>
            </w:pPr>
          </w:p>
        </w:tc>
        <w:tc>
          <w:tcPr>
            <w:tcW w:w="1606" w:type="dxa"/>
          </w:tcPr>
          <w:p w:rsidR="00127C19" w:rsidRPr="00180EC2" w:rsidRDefault="00127C19" w:rsidP="006B4557">
            <w:pPr>
              <w:rPr>
                <w:noProof/>
                <w:szCs w:val="22"/>
              </w:rPr>
            </w:pPr>
            <w:r w:rsidRPr="00180EC2">
              <w:rPr>
                <w:noProof/>
                <w:szCs w:val="22"/>
              </w:rPr>
              <w:t>Hyperkaelemia</w:t>
            </w:r>
          </w:p>
        </w:tc>
        <w:tc>
          <w:tcPr>
            <w:tcW w:w="1833" w:type="dxa"/>
          </w:tcPr>
          <w:p w:rsidR="00127C19" w:rsidRPr="00180EC2" w:rsidRDefault="00127C19" w:rsidP="006B4557">
            <w:pPr>
              <w:rPr>
                <w:noProof/>
                <w:szCs w:val="22"/>
              </w:rPr>
            </w:pPr>
          </w:p>
        </w:tc>
        <w:tc>
          <w:tcPr>
            <w:tcW w:w="1660" w:type="dxa"/>
          </w:tcPr>
          <w:p w:rsidR="00127C19" w:rsidRPr="00180EC2" w:rsidRDefault="00127C19" w:rsidP="006B4557">
            <w:pPr>
              <w:rPr>
                <w:noProof/>
                <w:szCs w:val="22"/>
              </w:rPr>
            </w:pPr>
          </w:p>
        </w:tc>
        <w:tc>
          <w:tcPr>
            <w:tcW w:w="1622" w:type="dxa"/>
          </w:tcPr>
          <w:p w:rsidR="00127C19" w:rsidRPr="00180EC2" w:rsidRDefault="00127C19" w:rsidP="006B4557">
            <w:pPr>
              <w:rPr>
                <w:noProof/>
                <w:szCs w:val="22"/>
              </w:rPr>
            </w:pPr>
          </w:p>
        </w:tc>
      </w:tr>
      <w:tr w:rsidR="00127C19" w:rsidRPr="00180EC2" w:rsidTr="00140779">
        <w:tc>
          <w:tcPr>
            <w:tcW w:w="8007" w:type="dxa"/>
            <w:gridSpan w:val="5"/>
          </w:tcPr>
          <w:p w:rsidR="00127C19" w:rsidRPr="00180EC2" w:rsidRDefault="00127C19" w:rsidP="006B4557">
            <w:pPr>
              <w:rPr>
                <w:b/>
                <w:noProof/>
                <w:szCs w:val="22"/>
              </w:rPr>
            </w:pPr>
            <w:r w:rsidRPr="00180EC2">
              <w:rPr>
                <w:b/>
                <w:noProof/>
                <w:szCs w:val="22"/>
              </w:rPr>
              <w:t>Psychiatric disorders</w:t>
            </w:r>
          </w:p>
        </w:tc>
        <w:tc>
          <w:tcPr>
            <w:tcW w:w="1622" w:type="dxa"/>
          </w:tcPr>
          <w:p w:rsidR="00127C19" w:rsidRPr="00180EC2" w:rsidRDefault="00127C19" w:rsidP="006B4557">
            <w:pPr>
              <w:rPr>
                <w:b/>
                <w:noProof/>
                <w:szCs w:val="22"/>
              </w:rPr>
            </w:pPr>
          </w:p>
        </w:tc>
      </w:tr>
      <w:tr w:rsidR="00127C19" w:rsidRPr="00180EC2" w:rsidTr="00140779">
        <w:tc>
          <w:tcPr>
            <w:tcW w:w="1465" w:type="dxa"/>
          </w:tcPr>
          <w:p w:rsidR="00127C19" w:rsidRPr="00180EC2" w:rsidRDefault="00127C19" w:rsidP="006B4557">
            <w:pPr>
              <w:rPr>
                <w:noProof/>
                <w:szCs w:val="22"/>
              </w:rPr>
            </w:pPr>
          </w:p>
        </w:tc>
        <w:tc>
          <w:tcPr>
            <w:tcW w:w="1443" w:type="dxa"/>
          </w:tcPr>
          <w:p w:rsidR="00127C19" w:rsidRPr="00180EC2" w:rsidRDefault="00127C19" w:rsidP="006B4557">
            <w:pPr>
              <w:rPr>
                <w:noProof/>
                <w:szCs w:val="22"/>
              </w:rPr>
            </w:pPr>
            <w:r w:rsidRPr="00180EC2">
              <w:rPr>
                <w:noProof/>
                <w:szCs w:val="22"/>
              </w:rPr>
              <w:t>Insomnia</w:t>
            </w:r>
          </w:p>
        </w:tc>
        <w:tc>
          <w:tcPr>
            <w:tcW w:w="1606" w:type="dxa"/>
          </w:tcPr>
          <w:p w:rsidR="00127C19" w:rsidRPr="00180EC2" w:rsidRDefault="00127C19">
            <w:pPr>
              <w:rPr>
                <w:noProof/>
                <w:szCs w:val="22"/>
              </w:rPr>
            </w:pPr>
            <w:r w:rsidRPr="00180EC2">
              <w:rPr>
                <w:noProof/>
                <w:szCs w:val="22"/>
              </w:rPr>
              <w:t>Anxiety, depression, fatigue</w:t>
            </w:r>
          </w:p>
        </w:tc>
        <w:tc>
          <w:tcPr>
            <w:tcW w:w="1833" w:type="dxa"/>
          </w:tcPr>
          <w:p w:rsidR="00127C19" w:rsidRPr="00180EC2" w:rsidRDefault="00127C19" w:rsidP="006B4557">
            <w:pPr>
              <w:rPr>
                <w:noProof/>
                <w:szCs w:val="22"/>
              </w:rPr>
            </w:pPr>
            <w:r w:rsidRPr="00180EC2">
              <w:rPr>
                <w:noProof/>
                <w:szCs w:val="22"/>
              </w:rPr>
              <w:t>Confusional state, hallucination</w:t>
            </w:r>
            <w:r w:rsidRPr="00180EC2">
              <w:rPr>
                <w:noProof/>
                <w:szCs w:val="22"/>
                <w:vertAlign w:val="superscript"/>
              </w:rPr>
              <w:t>4</w:t>
            </w:r>
          </w:p>
        </w:tc>
        <w:tc>
          <w:tcPr>
            <w:tcW w:w="1660" w:type="dxa"/>
          </w:tcPr>
          <w:p w:rsidR="00127C19" w:rsidRPr="00180EC2" w:rsidRDefault="00127C19" w:rsidP="006B4557">
            <w:pPr>
              <w:rPr>
                <w:noProof/>
                <w:szCs w:val="22"/>
              </w:rPr>
            </w:pPr>
          </w:p>
        </w:tc>
        <w:tc>
          <w:tcPr>
            <w:tcW w:w="1622" w:type="dxa"/>
          </w:tcPr>
          <w:p w:rsidR="00127C19" w:rsidRPr="00180EC2" w:rsidRDefault="00127C19" w:rsidP="006B4557">
            <w:pPr>
              <w:rPr>
                <w:noProof/>
                <w:szCs w:val="22"/>
              </w:rPr>
            </w:pPr>
          </w:p>
        </w:tc>
      </w:tr>
      <w:tr w:rsidR="00127C19" w:rsidRPr="00180EC2" w:rsidTr="00140779">
        <w:tc>
          <w:tcPr>
            <w:tcW w:w="8007" w:type="dxa"/>
            <w:gridSpan w:val="5"/>
          </w:tcPr>
          <w:p w:rsidR="00127C19" w:rsidRPr="00180EC2" w:rsidRDefault="00127C19" w:rsidP="006B4557">
            <w:pPr>
              <w:rPr>
                <w:b/>
                <w:noProof/>
                <w:szCs w:val="22"/>
              </w:rPr>
            </w:pPr>
            <w:r w:rsidRPr="00180EC2">
              <w:rPr>
                <w:b/>
                <w:noProof/>
                <w:szCs w:val="22"/>
              </w:rPr>
              <w:t xml:space="preserve">Nervous system disorders </w:t>
            </w:r>
          </w:p>
        </w:tc>
        <w:tc>
          <w:tcPr>
            <w:tcW w:w="1622" w:type="dxa"/>
          </w:tcPr>
          <w:p w:rsidR="00127C19" w:rsidRPr="00180EC2" w:rsidRDefault="00127C19" w:rsidP="006B4557">
            <w:pPr>
              <w:rPr>
                <w:b/>
                <w:noProof/>
                <w:szCs w:val="22"/>
              </w:rPr>
            </w:pPr>
          </w:p>
        </w:tc>
      </w:tr>
      <w:tr w:rsidR="00127C19" w:rsidRPr="00180EC2" w:rsidTr="00140779">
        <w:tc>
          <w:tcPr>
            <w:tcW w:w="1465" w:type="dxa"/>
          </w:tcPr>
          <w:p w:rsidR="00127C19" w:rsidRPr="00180EC2" w:rsidRDefault="00127C19" w:rsidP="006B4557">
            <w:pPr>
              <w:rPr>
                <w:noProof/>
                <w:szCs w:val="22"/>
              </w:rPr>
            </w:pPr>
          </w:p>
        </w:tc>
        <w:tc>
          <w:tcPr>
            <w:tcW w:w="1443" w:type="dxa"/>
          </w:tcPr>
          <w:p w:rsidR="00127C19" w:rsidRPr="00140779" w:rsidRDefault="00127C19" w:rsidP="006B4557">
            <w:pPr>
              <w:rPr>
                <w:noProof/>
                <w:szCs w:val="22"/>
                <w:vertAlign w:val="subscript"/>
              </w:rPr>
            </w:pPr>
            <w:r w:rsidRPr="00180EC2">
              <w:rPr>
                <w:noProof/>
                <w:szCs w:val="22"/>
              </w:rPr>
              <w:t>Dizziness, hypertonia, headache</w:t>
            </w:r>
            <w:r w:rsidRPr="00180EC2">
              <w:rPr>
                <w:noProof/>
                <w:szCs w:val="22"/>
                <w:vertAlign w:val="superscript"/>
              </w:rPr>
              <w:t>4</w:t>
            </w:r>
          </w:p>
        </w:tc>
        <w:tc>
          <w:tcPr>
            <w:tcW w:w="1606" w:type="dxa"/>
          </w:tcPr>
          <w:p w:rsidR="00127C19" w:rsidRPr="00180EC2" w:rsidRDefault="00127C19">
            <w:pPr>
              <w:rPr>
                <w:noProof/>
                <w:szCs w:val="22"/>
              </w:rPr>
            </w:pPr>
            <w:r w:rsidRPr="00180EC2">
              <w:rPr>
                <w:noProof/>
                <w:szCs w:val="22"/>
              </w:rPr>
              <w:t>Cerebral infarction</w:t>
            </w:r>
            <w:r w:rsidRPr="00180EC2">
              <w:rPr>
                <w:noProof/>
                <w:szCs w:val="22"/>
                <w:vertAlign w:val="superscript"/>
              </w:rPr>
              <w:t>1</w:t>
            </w:r>
            <w:r w:rsidRPr="00180EC2">
              <w:rPr>
                <w:noProof/>
                <w:szCs w:val="22"/>
              </w:rPr>
              <w:t>, paraesthesia, somnolence</w:t>
            </w:r>
          </w:p>
        </w:tc>
        <w:tc>
          <w:tcPr>
            <w:tcW w:w="1833" w:type="dxa"/>
          </w:tcPr>
          <w:p w:rsidR="00127C19" w:rsidRPr="00180EC2" w:rsidRDefault="00127C19">
            <w:pPr>
              <w:rPr>
                <w:noProof/>
                <w:szCs w:val="22"/>
              </w:rPr>
            </w:pPr>
            <w:r w:rsidRPr="00180EC2">
              <w:rPr>
                <w:noProof/>
                <w:szCs w:val="22"/>
              </w:rPr>
              <w:t>Ataxia, dysgeusia</w:t>
            </w:r>
          </w:p>
        </w:tc>
        <w:tc>
          <w:tcPr>
            <w:tcW w:w="1660" w:type="dxa"/>
          </w:tcPr>
          <w:p w:rsidR="00127C19" w:rsidRPr="00180EC2" w:rsidRDefault="00127C19" w:rsidP="006B4557">
            <w:pPr>
              <w:rPr>
                <w:noProof/>
                <w:szCs w:val="22"/>
              </w:rPr>
            </w:pPr>
            <w:r w:rsidRPr="00180EC2">
              <w:rPr>
                <w:noProof/>
                <w:szCs w:val="22"/>
              </w:rPr>
              <w:t>Haemorrhage intracranial (including fata intracranial)</w:t>
            </w:r>
            <w:r w:rsidRPr="00180EC2">
              <w:rPr>
                <w:noProof/>
                <w:szCs w:val="22"/>
                <w:vertAlign w:val="superscript"/>
              </w:rPr>
              <w:t xml:space="preserve"> 4</w:t>
            </w:r>
            <w:r w:rsidRPr="00180EC2">
              <w:rPr>
                <w:noProof/>
                <w:szCs w:val="22"/>
              </w:rPr>
              <w:t xml:space="preserve">, meningitis </w:t>
            </w:r>
            <w:r w:rsidRPr="00180EC2">
              <w:rPr>
                <w:noProof/>
                <w:szCs w:val="22"/>
              </w:rPr>
              <w:lastRenderedPageBreak/>
              <w:t>asceptic</w:t>
            </w:r>
            <w:r w:rsidRPr="00180EC2">
              <w:rPr>
                <w:noProof/>
                <w:szCs w:val="22"/>
                <w:vertAlign w:val="superscript"/>
              </w:rPr>
              <w:t>4</w:t>
            </w:r>
            <w:r w:rsidRPr="00180EC2">
              <w:rPr>
                <w:noProof/>
                <w:szCs w:val="22"/>
              </w:rPr>
              <w:t>, epilepsy (including aggravated epilepsy)</w:t>
            </w:r>
            <w:r w:rsidRPr="00180EC2">
              <w:rPr>
                <w:noProof/>
                <w:szCs w:val="22"/>
                <w:vertAlign w:val="superscript"/>
              </w:rPr>
              <w:t xml:space="preserve"> 4</w:t>
            </w:r>
            <w:r w:rsidRPr="00180EC2">
              <w:rPr>
                <w:noProof/>
                <w:szCs w:val="22"/>
              </w:rPr>
              <w:t>, ageusia</w:t>
            </w:r>
            <w:r w:rsidRPr="00180EC2">
              <w:rPr>
                <w:noProof/>
                <w:szCs w:val="22"/>
                <w:vertAlign w:val="superscript"/>
              </w:rPr>
              <w:t>4</w:t>
            </w:r>
            <w:r w:rsidRPr="00180EC2">
              <w:rPr>
                <w:noProof/>
                <w:szCs w:val="22"/>
              </w:rPr>
              <w:t>, anosmia</w:t>
            </w:r>
            <w:r w:rsidRPr="00180EC2">
              <w:rPr>
                <w:noProof/>
                <w:szCs w:val="22"/>
                <w:vertAlign w:val="superscript"/>
              </w:rPr>
              <w:t>4</w:t>
            </w:r>
          </w:p>
        </w:tc>
        <w:tc>
          <w:tcPr>
            <w:tcW w:w="1622" w:type="dxa"/>
          </w:tcPr>
          <w:p w:rsidR="00127C19" w:rsidRPr="00180EC2" w:rsidRDefault="00127C19" w:rsidP="006B4557">
            <w:pPr>
              <w:rPr>
                <w:noProof/>
                <w:szCs w:val="22"/>
              </w:rPr>
            </w:pPr>
            <w:r w:rsidRPr="00180EC2">
              <w:rPr>
                <w:noProof/>
                <w:szCs w:val="22"/>
              </w:rPr>
              <w:lastRenderedPageBreak/>
              <w:t xml:space="preserve">Headache, aggravated epilepsy, meningitis aseptic, </w:t>
            </w:r>
            <w:r w:rsidRPr="00180EC2">
              <w:rPr>
                <w:noProof/>
                <w:szCs w:val="22"/>
              </w:rPr>
              <w:lastRenderedPageBreak/>
              <w:t>ageusia, anosmia, fatal intracranial haemorrhage</w:t>
            </w:r>
          </w:p>
        </w:tc>
      </w:tr>
      <w:tr w:rsidR="00127C19" w:rsidRPr="00180EC2" w:rsidTr="00140779">
        <w:tc>
          <w:tcPr>
            <w:tcW w:w="8007" w:type="dxa"/>
            <w:gridSpan w:val="5"/>
          </w:tcPr>
          <w:p w:rsidR="00127C19" w:rsidRPr="00180EC2" w:rsidRDefault="00127C19" w:rsidP="006B4557">
            <w:pPr>
              <w:rPr>
                <w:b/>
                <w:noProof/>
                <w:szCs w:val="22"/>
              </w:rPr>
            </w:pPr>
            <w:r w:rsidRPr="00180EC2">
              <w:rPr>
                <w:b/>
                <w:noProof/>
                <w:szCs w:val="22"/>
              </w:rPr>
              <w:lastRenderedPageBreak/>
              <w:t>Eye disorders</w:t>
            </w:r>
          </w:p>
        </w:tc>
        <w:tc>
          <w:tcPr>
            <w:tcW w:w="1622" w:type="dxa"/>
          </w:tcPr>
          <w:p w:rsidR="00127C19" w:rsidRPr="00180EC2" w:rsidRDefault="00127C19" w:rsidP="006B4557">
            <w:pPr>
              <w:rPr>
                <w:b/>
                <w:noProof/>
                <w:szCs w:val="22"/>
              </w:rPr>
            </w:pPr>
          </w:p>
        </w:tc>
      </w:tr>
      <w:tr w:rsidR="00127C19" w:rsidRPr="00180EC2" w:rsidTr="00140779">
        <w:tc>
          <w:tcPr>
            <w:tcW w:w="1465" w:type="dxa"/>
          </w:tcPr>
          <w:p w:rsidR="00127C19" w:rsidRPr="00180EC2" w:rsidRDefault="00127C19" w:rsidP="006B4557">
            <w:pPr>
              <w:rPr>
                <w:noProof/>
                <w:szCs w:val="22"/>
              </w:rPr>
            </w:pPr>
          </w:p>
        </w:tc>
        <w:tc>
          <w:tcPr>
            <w:tcW w:w="1443" w:type="dxa"/>
          </w:tcPr>
          <w:p w:rsidR="00127C19" w:rsidRPr="00180EC2" w:rsidRDefault="00127C19" w:rsidP="006B4557">
            <w:pPr>
              <w:rPr>
                <w:noProof/>
                <w:szCs w:val="22"/>
              </w:rPr>
            </w:pPr>
          </w:p>
        </w:tc>
        <w:tc>
          <w:tcPr>
            <w:tcW w:w="1606" w:type="dxa"/>
          </w:tcPr>
          <w:p w:rsidR="00127C19" w:rsidRPr="00180EC2" w:rsidRDefault="00127C19" w:rsidP="006B4557">
            <w:pPr>
              <w:rPr>
                <w:noProof/>
                <w:szCs w:val="22"/>
              </w:rPr>
            </w:pPr>
            <w:r w:rsidRPr="00180EC2">
              <w:rPr>
                <w:noProof/>
                <w:szCs w:val="22"/>
              </w:rPr>
              <w:t>Vision blurred, conjunctivitis</w:t>
            </w:r>
            <w:r w:rsidRPr="00180EC2">
              <w:rPr>
                <w:noProof/>
                <w:szCs w:val="22"/>
                <w:vertAlign w:val="superscript"/>
              </w:rPr>
              <w:t>4</w:t>
            </w:r>
          </w:p>
        </w:tc>
        <w:tc>
          <w:tcPr>
            <w:tcW w:w="1833" w:type="dxa"/>
          </w:tcPr>
          <w:p w:rsidR="00127C19" w:rsidRPr="00180EC2" w:rsidRDefault="00127C19" w:rsidP="006B4557">
            <w:pPr>
              <w:rPr>
                <w:noProof/>
                <w:szCs w:val="22"/>
              </w:rPr>
            </w:pPr>
            <w:r w:rsidRPr="00180EC2">
              <w:rPr>
                <w:noProof/>
                <w:szCs w:val="22"/>
              </w:rPr>
              <w:t>Coular haemorrhage</w:t>
            </w:r>
            <w:r w:rsidRPr="00180EC2">
              <w:rPr>
                <w:noProof/>
                <w:szCs w:val="22"/>
                <w:vertAlign w:val="superscript"/>
              </w:rPr>
              <w:t>4</w:t>
            </w:r>
          </w:p>
        </w:tc>
        <w:tc>
          <w:tcPr>
            <w:tcW w:w="1660" w:type="dxa"/>
          </w:tcPr>
          <w:p w:rsidR="00127C19" w:rsidRPr="00180EC2" w:rsidRDefault="001D0EBB" w:rsidP="006B4557">
            <w:pPr>
              <w:rPr>
                <w:noProof/>
                <w:szCs w:val="22"/>
              </w:rPr>
            </w:pPr>
            <w:r w:rsidRPr="00140779">
              <w:rPr>
                <w:noProof/>
                <w:szCs w:val="22"/>
              </w:rPr>
              <w:t>R</w:t>
            </w:r>
            <w:r w:rsidR="00127C19" w:rsidRPr="00180EC2">
              <w:rPr>
                <w:noProof/>
                <w:szCs w:val="22"/>
              </w:rPr>
              <w:t>etinal artery occlusion</w:t>
            </w:r>
            <w:r w:rsidR="00127C19" w:rsidRPr="00180EC2">
              <w:rPr>
                <w:noProof/>
                <w:szCs w:val="22"/>
                <w:vertAlign w:val="superscript"/>
              </w:rPr>
              <w:t>4</w:t>
            </w:r>
            <w:r w:rsidR="00127C19" w:rsidRPr="00180EC2">
              <w:rPr>
                <w:noProof/>
                <w:szCs w:val="22"/>
              </w:rPr>
              <w:t>, retinal vein occlusion</w:t>
            </w:r>
            <w:r w:rsidR="00127C19" w:rsidRPr="00180EC2">
              <w:rPr>
                <w:noProof/>
                <w:szCs w:val="22"/>
                <w:vertAlign w:val="superscript"/>
              </w:rPr>
              <w:t>4</w:t>
            </w:r>
          </w:p>
        </w:tc>
        <w:tc>
          <w:tcPr>
            <w:tcW w:w="1622" w:type="dxa"/>
          </w:tcPr>
          <w:p w:rsidR="00127C19" w:rsidRPr="00180EC2" w:rsidRDefault="00127C19" w:rsidP="006B4557">
            <w:pPr>
              <w:rPr>
                <w:noProof/>
                <w:szCs w:val="22"/>
              </w:rPr>
            </w:pPr>
          </w:p>
        </w:tc>
      </w:tr>
      <w:tr w:rsidR="00127C19" w:rsidRPr="00180EC2" w:rsidTr="00140779">
        <w:tc>
          <w:tcPr>
            <w:tcW w:w="8007" w:type="dxa"/>
            <w:gridSpan w:val="5"/>
          </w:tcPr>
          <w:p w:rsidR="00127C19" w:rsidRPr="00180EC2" w:rsidRDefault="00127C19" w:rsidP="006B4557">
            <w:pPr>
              <w:rPr>
                <w:b/>
                <w:noProof/>
                <w:szCs w:val="22"/>
              </w:rPr>
            </w:pPr>
            <w:r w:rsidRPr="00180EC2">
              <w:rPr>
                <w:b/>
                <w:noProof/>
                <w:szCs w:val="22"/>
              </w:rPr>
              <w:t>Ear and labyrinth disorders</w:t>
            </w:r>
          </w:p>
        </w:tc>
        <w:tc>
          <w:tcPr>
            <w:tcW w:w="1622" w:type="dxa"/>
          </w:tcPr>
          <w:p w:rsidR="00127C19" w:rsidRPr="00180EC2" w:rsidRDefault="00127C19" w:rsidP="006B4557">
            <w:pPr>
              <w:rPr>
                <w:b/>
                <w:noProof/>
                <w:szCs w:val="22"/>
              </w:rPr>
            </w:pPr>
          </w:p>
        </w:tc>
      </w:tr>
      <w:tr w:rsidR="00127C19" w:rsidRPr="00180EC2" w:rsidTr="00140779">
        <w:tc>
          <w:tcPr>
            <w:tcW w:w="1465" w:type="dxa"/>
          </w:tcPr>
          <w:p w:rsidR="00127C19" w:rsidRPr="00180EC2" w:rsidRDefault="00127C19" w:rsidP="006B4557">
            <w:pPr>
              <w:rPr>
                <w:noProof/>
                <w:szCs w:val="22"/>
              </w:rPr>
            </w:pPr>
          </w:p>
        </w:tc>
        <w:tc>
          <w:tcPr>
            <w:tcW w:w="1443" w:type="dxa"/>
          </w:tcPr>
          <w:p w:rsidR="00127C19" w:rsidRPr="00180EC2" w:rsidRDefault="00127C19" w:rsidP="006B4557">
            <w:pPr>
              <w:rPr>
                <w:noProof/>
                <w:szCs w:val="22"/>
              </w:rPr>
            </w:pPr>
          </w:p>
        </w:tc>
        <w:tc>
          <w:tcPr>
            <w:tcW w:w="1606" w:type="dxa"/>
          </w:tcPr>
          <w:p w:rsidR="00127C19" w:rsidRPr="00180EC2" w:rsidRDefault="00127C19" w:rsidP="006B4557">
            <w:pPr>
              <w:rPr>
                <w:noProof/>
                <w:szCs w:val="22"/>
                <w:vertAlign w:val="superscript"/>
              </w:rPr>
            </w:pPr>
            <w:r w:rsidRPr="00180EC2">
              <w:rPr>
                <w:noProof/>
                <w:szCs w:val="22"/>
              </w:rPr>
              <w:t>Tinnitus hypoacusis</w:t>
            </w:r>
            <w:r w:rsidRPr="00180EC2">
              <w:rPr>
                <w:noProof/>
                <w:szCs w:val="22"/>
                <w:vertAlign w:val="superscript"/>
              </w:rPr>
              <w:t>1</w:t>
            </w:r>
          </w:p>
        </w:tc>
        <w:tc>
          <w:tcPr>
            <w:tcW w:w="1833" w:type="dxa"/>
          </w:tcPr>
          <w:p w:rsidR="00127C19" w:rsidRPr="00180EC2" w:rsidRDefault="00127C19" w:rsidP="006B4557">
            <w:pPr>
              <w:rPr>
                <w:noProof/>
                <w:szCs w:val="22"/>
              </w:rPr>
            </w:pPr>
            <w:r w:rsidRPr="00180EC2">
              <w:rPr>
                <w:noProof/>
                <w:szCs w:val="22"/>
              </w:rPr>
              <w:tab/>
            </w:r>
          </w:p>
        </w:tc>
        <w:tc>
          <w:tcPr>
            <w:tcW w:w="1660" w:type="dxa"/>
          </w:tcPr>
          <w:p w:rsidR="00127C19" w:rsidRPr="00180EC2" w:rsidRDefault="00127C19" w:rsidP="006B4557">
            <w:pPr>
              <w:rPr>
                <w:noProof/>
                <w:szCs w:val="22"/>
              </w:rPr>
            </w:pPr>
          </w:p>
        </w:tc>
        <w:tc>
          <w:tcPr>
            <w:tcW w:w="1622" w:type="dxa"/>
          </w:tcPr>
          <w:p w:rsidR="00127C19" w:rsidRPr="00180EC2" w:rsidRDefault="00127C19" w:rsidP="006B4557">
            <w:pPr>
              <w:rPr>
                <w:noProof/>
                <w:szCs w:val="22"/>
              </w:rPr>
            </w:pPr>
          </w:p>
        </w:tc>
      </w:tr>
      <w:tr w:rsidR="00127C19" w:rsidRPr="00180EC2" w:rsidTr="00140779">
        <w:tc>
          <w:tcPr>
            <w:tcW w:w="8007" w:type="dxa"/>
            <w:gridSpan w:val="5"/>
          </w:tcPr>
          <w:p w:rsidR="00127C19" w:rsidRPr="00180EC2" w:rsidRDefault="00127C19" w:rsidP="006B4557">
            <w:pPr>
              <w:rPr>
                <w:b/>
                <w:noProof/>
                <w:szCs w:val="22"/>
              </w:rPr>
            </w:pPr>
            <w:r w:rsidRPr="00180EC2">
              <w:rPr>
                <w:b/>
                <w:noProof/>
                <w:szCs w:val="22"/>
              </w:rPr>
              <w:t>Cardiac disorders</w:t>
            </w:r>
          </w:p>
        </w:tc>
        <w:tc>
          <w:tcPr>
            <w:tcW w:w="1622" w:type="dxa"/>
          </w:tcPr>
          <w:p w:rsidR="00127C19" w:rsidRPr="00180EC2" w:rsidRDefault="00127C19" w:rsidP="006B4557">
            <w:pPr>
              <w:rPr>
                <w:b/>
                <w:noProof/>
                <w:szCs w:val="22"/>
              </w:rPr>
            </w:pPr>
          </w:p>
        </w:tc>
      </w:tr>
      <w:tr w:rsidR="00127C19" w:rsidRPr="00180EC2" w:rsidTr="00140779">
        <w:tc>
          <w:tcPr>
            <w:tcW w:w="1465" w:type="dxa"/>
          </w:tcPr>
          <w:p w:rsidR="00127C19" w:rsidRPr="00180EC2" w:rsidRDefault="00127C19" w:rsidP="006B4557">
            <w:pPr>
              <w:rPr>
                <w:noProof/>
                <w:szCs w:val="22"/>
              </w:rPr>
            </w:pPr>
          </w:p>
        </w:tc>
        <w:tc>
          <w:tcPr>
            <w:tcW w:w="1443" w:type="dxa"/>
          </w:tcPr>
          <w:p w:rsidR="00127C19" w:rsidRPr="00180EC2" w:rsidRDefault="00127C19" w:rsidP="006B4557">
            <w:pPr>
              <w:rPr>
                <w:noProof/>
                <w:szCs w:val="22"/>
                <w:vertAlign w:val="superscript"/>
              </w:rPr>
            </w:pPr>
            <w:r w:rsidRPr="00180EC2">
              <w:rPr>
                <w:noProof/>
                <w:szCs w:val="22"/>
              </w:rPr>
              <w:t>Myocardial infarction</w:t>
            </w:r>
            <w:r w:rsidRPr="00180EC2">
              <w:rPr>
                <w:noProof/>
                <w:szCs w:val="22"/>
                <w:vertAlign w:val="superscript"/>
              </w:rPr>
              <w:t>1</w:t>
            </w:r>
          </w:p>
        </w:tc>
        <w:tc>
          <w:tcPr>
            <w:tcW w:w="1606" w:type="dxa"/>
          </w:tcPr>
          <w:p w:rsidR="00127C19" w:rsidRPr="00180EC2" w:rsidRDefault="001D0EBB" w:rsidP="006B4557">
            <w:pPr>
              <w:rPr>
                <w:noProof/>
                <w:szCs w:val="22"/>
              </w:rPr>
            </w:pPr>
            <w:r w:rsidRPr="00180EC2">
              <w:rPr>
                <w:noProof/>
                <w:szCs w:val="22"/>
              </w:rPr>
              <w:t xml:space="preserve">Cardiac </w:t>
            </w:r>
            <w:r w:rsidR="00127C19" w:rsidRPr="00180EC2">
              <w:rPr>
                <w:noProof/>
                <w:szCs w:val="22"/>
              </w:rPr>
              <w:t>failure, palpitations, tachycardia</w:t>
            </w:r>
          </w:p>
        </w:tc>
        <w:tc>
          <w:tcPr>
            <w:tcW w:w="1833" w:type="dxa"/>
          </w:tcPr>
          <w:p w:rsidR="00127C19" w:rsidRPr="00180EC2" w:rsidRDefault="001D0EBB" w:rsidP="006B4557">
            <w:pPr>
              <w:rPr>
                <w:noProof/>
                <w:szCs w:val="22"/>
              </w:rPr>
            </w:pPr>
            <w:r w:rsidRPr="00180EC2">
              <w:rPr>
                <w:noProof/>
                <w:szCs w:val="22"/>
              </w:rPr>
              <w:t>Arrhythmia</w:t>
            </w:r>
            <w:r w:rsidRPr="00180EC2">
              <w:rPr>
                <w:noProof/>
                <w:szCs w:val="22"/>
                <w:vertAlign w:val="superscript"/>
              </w:rPr>
              <w:t>4</w:t>
            </w:r>
          </w:p>
        </w:tc>
        <w:tc>
          <w:tcPr>
            <w:tcW w:w="1660" w:type="dxa"/>
          </w:tcPr>
          <w:p w:rsidR="00127C19" w:rsidRPr="00180EC2" w:rsidRDefault="00127C19" w:rsidP="006B4557">
            <w:pPr>
              <w:rPr>
                <w:noProof/>
                <w:szCs w:val="22"/>
              </w:rPr>
            </w:pPr>
          </w:p>
        </w:tc>
        <w:tc>
          <w:tcPr>
            <w:tcW w:w="1622" w:type="dxa"/>
          </w:tcPr>
          <w:p w:rsidR="00127C19" w:rsidRPr="00180EC2" w:rsidRDefault="00127C19" w:rsidP="006B4557">
            <w:pPr>
              <w:rPr>
                <w:noProof/>
                <w:szCs w:val="22"/>
              </w:rPr>
            </w:pPr>
          </w:p>
        </w:tc>
      </w:tr>
      <w:tr w:rsidR="00127C19" w:rsidRPr="00180EC2" w:rsidTr="00140779">
        <w:tc>
          <w:tcPr>
            <w:tcW w:w="8007" w:type="dxa"/>
            <w:gridSpan w:val="5"/>
          </w:tcPr>
          <w:p w:rsidR="00127C19" w:rsidRPr="00180EC2" w:rsidRDefault="00127C19" w:rsidP="006B4557">
            <w:pPr>
              <w:rPr>
                <w:b/>
                <w:noProof/>
                <w:szCs w:val="22"/>
              </w:rPr>
            </w:pPr>
            <w:r w:rsidRPr="00180EC2">
              <w:rPr>
                <w:b/>
                <w:noProof/>
                <w:szCs w:val="22"/>
              </w:rPr>
              <w:t>Vascular disorders</w:t>
            </w:r>
          </w:p>
        </w:tc>
        <w:tc>
          <w:tcPr>
            <w:tcW w:w="1622" w:type="dxa"/>
          </w:tcPr>
          <w:p w:rsidR="00127C19" w:rsidRPr="00180EC2" w:rsidRDefault="00127C19" w:rsidP="006B4557">
            <w:pPr>
              <w:rPr>
                <w:b/>
                <w:noProof/>
                <w:szCs w:val="22"/>
              </w:rPr>
            </w:pPr>
          </w:p>
        </w:tc>
      </w:tr>
      <w:tr w:rsidR="00127C19" w:rsidRPr="00180EC2" w:rsidTr="00140779">
        <w:tc>
          <w:tcPr>
            <w:tcW w:w="1465" w:type="dxa"/>
          </w:tcPr>
          <w:p w:rsidR="00127C19" w:rsidRPr="00180EC2" w:rsidRDefault="00127C19" w:rsidP="006B4557">
            <w:pPr>
              <w:rPr>
                <w:noProof/>
                <w:szCs w:val="22"/>
              </w:rPr>
            </w:pPr>
            <w:r w:rsidRPr="00180EC2">
              <w:rPr>
                <w:noProof/>
                <w:szCs w:val="22"/>
              </w:rPr>
              <w:t>Hypertension</w:t>
            </w:r>
            <w:r w:rsidR="001D0EBB" w:rsidRPr="00180EC2">
              <w:rPr>
                <w:noProof/>
                <w:szCs w:val="22"/>
                <w:vertAlign w:val="superscript"/>
              </w:rPr>
              <w:t>1</w:t>
            </w:r>
            <w:r w:rsidR="001D0EBB" w:rsidRPr="00180EC2">
              <w:rPr>
                <w:noProof/>
                <w:szCs w:val="22"/>
              </w:rPr>
              <w:t xml:space="preserve"> (including aggravated hypertension)</w:t>
            </w:r>
          </w:p>
        </w:tc>
        <w:tc>
          <w:tcPr>
            <w:tcW w:w="1443" w:type="dxa"/>
          </w:tcPr>
          <w:p w:rsidR="00127C19" w:rsidRPr="00180EC2" w:rsidRDefault="00127C19" w:rsidP="006B4557">
            <w:pPr>
              <w:rPr>
                <w:noProof/>
                <w:szCs w:val="22"/>
              </w:rPr>
            </w:pPr>
          </w:p>
        </w:tc>
        <w:tc>
          <w:tcPr>
            <w:tcW w:w="1606" w:type="dxa"/>
          </w:tcPr>
          <w:p w:rsidR="00127C19" w:rsidRPr="00180EC2" w:rsidRDefault="00127C19" w:rsidP="006B4557">
            <w:pPr>
              <w:rPr>
                <w:noProof/>
                <w:szCs w:val="22"/>
              </w:rPr>
            </w:pPr>
          </w:p>
        </w:tc>
        <w:tc>
          <w:tcPr>
            <w:tcW w:w="1833" w:type="dxa"/>
          </w:tcPr>
          <w:p w:rsidR="00127C19" w:rsidRPr="00180EC2" w:rsidRDefault="001D0EBB" w:rsidP="006B4557">
            <w:pPr>
              <w:rPr>
                <w:noProof/>
                <w:szCs w:val="22"/>
              </w:rPr>
            </w:pPr>
            <w:r w:rsidRPr="00180EC2">
              <w:rPr>
                <w:noProof/>
                <w:szCs w:val="22"/>
              </w:rPr>
              <w:t>Pulmonary embolism</w:t>
            </w:r>
            <w:r w:rsidRPr="00180EC2">
              <w:rPr>
                <w:noProof/>
                <w:szCs w:val="22"/>
                <w:vertAlign w:val="superscript"/>
              </w:rPr>
              <w:t>4</w:t>
            </w:r>
            <w:r w:rsidRPr="00180EC2">
              <w:rPr>
                <w:noProof/>
                <w:szCs w:val="22"/>
              </w:rPr>
              <w:t>, flushing</w:t>
            </w:r>
            <w:r w:rsidRPr="00180EC2">
              <w:rPr>
                <w:noProof/>
                <w:szCs w:val="22"/>
                <w:vertAlign w:val="superscript"/>
              </w:rPr>
              <w:t>4</w:t>
            </w:r>
          </w:p>
        </w:tc>
        <w:tc>
          <w:tcPr>
            <w:tcW w:w="1660" w:type="dxa"/>
          </w:tcPr>
          <w:p w:rsidR="00127C19" w:rsidRPr="00180EC2" w:rsidRDefault="001D0EBB" w:rsidP="006B4557">
            <w:pPr>
              <w:rPr>
                <w:noProof/>
                <w:szCs w:val="22"/>
              </w:rPr>
            </w:pPr>
            <w:r w:rsidRPr="00180EC2">
              <w:rPr>
                <w:noProof/>
                <w:szCs w:val="22"/>
              </w:rPr>
              <w:t>Vasculitis</w:t>
            </w:r>
            <w:r w:rsidRPr="00180EC2">
              <w:rPr>
                <w:noProof/>
                <w:szCs w:val="22"/>
                <w:vertAlign w:val="superscript"/>
              </w:rPr>
              <w:t>4</w:t>
            </w:r>
          </w:p>
        </w:tc>
        <w:tc>
          <w:tcPr>
            <w:tcW w:w="1622" w:type="dxa"/>
          </w:tcPr>
          <w:p w:rsidR="00127C19" w:rsidRPr="00180EC2" w:rsidRDefault="00127C19" w:rsidP="006B4557">
            <w:pPr>
              <w:rPr>
                <w:noProof/>
                <w:szCs w:val="22"/>
              </w:rPr>
            </w:pPr>
          </w:p>
        </w:tc>
      </w:tr>
      <w:tr w:rsidR="00127C19" w:rsidRPr="00180EC2" w:rsidTr="00140779">
        <w:tc>
          <w:tcPr>
            <w:tcW w:w="8007" w:type="dxa"/>
            <w:gridSpan w:val="5"/>
          </w:tcPr>
          <w:p w:rsidR="00127C19" w:rsidRPr="00180EC2" w:rsidRDefault="00127C19" w:rsidP="006B4557">
            <w:pPr>
              <w:rPr>
                <w:b/>
                <w:noProof/>
                <w:szCs w:val="22"/>
              </w:rPr>
            </w:pPr>
            <w:r w:rsidRPr="00180EC2">
              <w:rPr>
                <w:b/>
                <w:noProof/>
                <w:szCs w:val="22"/>
              </w:rPr>
              <w:t>Respiratory, thoracic and mediastinal disorders</w:t>
            </w:r>
          </w:p>
        </w:tc>
        <w:tc>
          <w:tcPr>
            <w:tcW w:w="1622" w:type="dxa"/>
          </w:tcPr>
          <w:p w:rsidR="00127C19" w:rsidRPr="00180EC2" w:rsidRDefault="00127C19" w:rsidP="006B4557">
            <w:pPr>
              <w:rPr>
                <w:b/>
                <w:noProof/>
                <w:szCs w:val="22"/>
              </w:rPr>
            </w:pPr>
          </w:p>
        </w:tc>
      </w:tr>
      <w:tr w:rsidR="001D0EBB" w:rsidRPr="00180EC2" w:rsidTr="00140779">
        <w:tc>
          <w:tcPr>
            <w:tcW w:w="1465" w:type="dxa"/>
          </w:tcPr>
          <w:p w:rsidR="001D0EBB" w:rsidRPr="00180EC2" w:rsidRDefault="001D0EBB" w:rsidP="001D0EBB">
            <w:pPr>
              <w:rPr>
                <w:noProof/>
                <w:szCs w:val="22"/>
              </w:rPr>
            </w:pPr>
          </w:p>
        </w:tc>
        <w:tc>
          <w:tcPr>
            <w:tcW w:w="1443" w:type="dxa"/>
          </w:tcPr>
          <w:p w:rsidR="001D0EBB" w:rsidRPr="00180EC2" w:rsidRDefault="001D0EBB" w:rsidP="001D0EBB">
            <w:pPr>
              <w:rPr>
                <w:noProof/>
                <w:szCs w:val="22"/>
              </w:rPr>
            </w:pPr>
            <w:r w:rsidRPr="00180EC2">
              <w:rPr>
                <w:noProof/>
                <w:szCs w:val="22"/>
              </w:rPr>
              <w:t>Rhinitis, cough, dyspnoea</w:t>
            </w:r>
            <w:r w:rsidRPr="00180EC2">
              <w:rPr>
                <w:noProof/>
                <w:szCs w:val="22"/>
                <w:vertAlign w:val="superscript"/>
              </w:rPr>
              <w:t>1</w:t>
            </w:r>
          </w:p>
        </w:tc>
        <w:tc>
          <w:tcPr>
            <w:tcW w:w="1606" w:type="dxa"/>
          </w:tcPr>
          <w:p w:rsidR="001D0EBB" w:rsidRPr="00140779" w:rsidRDefault="001D0EBB" w:rsidP="001D0EBB">
            <w:pPr>
              <w:rPr>
                <w:noProof/>
                <w:szCs w:val="22"/>
                <w:vertAlign w:val="superscript"/>
              </w:rPr>
            </w:pPr>
            <w:r w:rsidRPr="00180EC2">
              <w:rPr>
                <w:noProof/>
                <w:szCs w:val="22"/>
              </w:rPr>
              <w:t>Bronchospasm</w:t>
            </w:r>
            <w:r w:rsidRPr="00180EC2">
              <w:rPr>
                <w:noProof/>
                <w:szCs w:val="22"/>
                <w:vertAlign w:val="superscript"/>
              </w:rPr>
              <w:t>4</w:t>
            </w:r>
          </w:p>
        </w:tc>
        <w:tc>
          <w:tcPr>
            <w:tcW w:w="1833" w:type="dxa"/>
          </w:tcPr>
          <w:p w:rsidR="001D0EBB" w:rsidRPr="00180EC2" w:rsidRDefault="001D0EBB" w:rsidP="001D0EBB">
            <w:pPr>
              <w:rPr>
                <w:noProof/>
                <w:szCs w:val="22"/>
              </w:rPr>
            </w:pPr>
            <w:r w:rsidRPr="00180EC2">
              <w:rPr>
                <w:noProof/>
                <w:szCs w:val="22"/>
              </w:rPr>
              <w:t>Pneumonitis</w:t>
            </w:r>
            <w:r w:rsidRPr="00180EC2">
              <w:rPr>
                <w:noProof/>
                <w:szCs w:val="22"/>
                <w:vertAlign w:val="superscript"/>
              </w:rPr>
              <w:t>4</w:t>
            </w:r>
          </w:p>
        </w:tc>
        <w:tc>
          <w:tcPr>
            <w:tcW w:w="1660" w:type="dxa"/>
          </w:tcPr>
          <w:p w:rsidR="001D0EBB" w:rsidRPr="00180EC2" w:rsidRDefault="001D0EBB" w:rsidP="001D0EBB">
            <w:pPr>
              <w:rPr>
                <w:noProof/>
                <w:szCs w:val="22"/>
              </w:rPr>
            </w:pPr>
          </w:p>
        </w:tc>
        <w:tc>
          <w:tcPr>
            <w:tcW w:w="1622" w:type="dxa"/>
          </w:tcPr>
          <w:p w:rsidR="001D0EBB" w:rsidRPr="00180EC2" w:rsidRDefault="001D0EBB" w:rsidP="001D0EBB">
            <w:pPr>
              <w:rPr>
                <w:noProof/>
                <w:szCs w:val="22"/>
              </w:rPr>
            </w:pPr>
          </w:p>
        </w:tc>
      </w:tr>
      <w:tr w:rsidR="001D0EBB" w:rsidRPr="00180EC2" w:rsidTr="00140779">
        <w:tc>
          <w:tcPr>
            <w:tcW w:w="8007" w:type="dxa"/>
            <w:gridSpan w:val="5"/>
          </w:tcPr>
          <w:p w:rsidR="001D0EBB" w:rsidRPr="00180EC2" w:rsidRDefault="001D0EBB" w:rsidP="001D0EBB">
            <w:pPr>
              <w:rPr>
                <w:b/>
                <w:noProof/>
                <w:szCs w:val="22"/>
              </w:rPr>
            </w:pPr>
            <w:r w:rsidRPr="00180EC2">
              <w:rPr>
                <w:b/>
                <w:noProof/>
                <w:szCs w:val="22"/>
              </w:rPr>
              <w:t>Gastrointestinal disorders</w:t>
            </w:r>
          </w:p>
        </w:tc>
        <w:tc>
          <w:tcPr>
            <w:tcW w:w="1622" w:type="dxa"/>
          </w:tcPr>
          <w:p w:rsidR="001D0EBB" w:rsidRPr="00180EC2" w:rsidRDefault="001D0EBB" w:rsidP="001D0EBB">
            <w:pPr>
              <w:rPr>
                <w:b/>
                <w:noProof/>
                <w:szCs w:val="22"/>
              </w:rPr>
            </w:pPr>
          </w:p>
        </w:tc>
      </w:tr>
      <w:tr w:rsidR="001D0EBB" w:rsidRPr="00180EC2" w:rsidTr="00140779">
        <w:tc>
          <w:tcPr>
            <w:tcW w:w="1465" w:type="dxa"/>
          </w:tcPr>
          <w:p w:rsidR="001D0EBB" w:rsidRPr="00180EC2" w:rsidRDefault="001D0EBB" w:rsidP="001D0EBB">
            <w:pPr>
              <w:rPr>
                <w:noProof/>
                <w:szCs w:val="22"/>
              </w:rPr>
            </w:pPr>
          </w:p>
        </w:tc>
        <w:tc>
          <w:tcPr>
            <w:tcW w:w="1443" w:type="dxa"/>
          </w:tcPr>
          <w:p w:rsidR="001D0EBB" w:rsidRPr="00180EC2" w:rsidRDefault="001D0EBB" w:rsidP="001D0EBB">
            <w:pPr>
              <w:rPr>
                <w:noProof/>
                <w:szCs w:val="22"/>
                <w:vertAlign w:val="superscript"/>
              </w:rPr>
            </w:pPr>
            <w:r w:rsidRPr="00180EC2">
              <w:rPr>
                <w:noProof/>
                <w:szCs w:val="22"/>
              </w:rPr>
              <w:t>Nausea</w:t>
            </w:r>
            <w:r w:rsidRPr="00180EC2">
              <w:rPr>
                <w:noProof/>
                <w:szCs w:val="22"/>
                <w:vertAlign w:val="superscript"/>
              </w:rPr>
              <w:t>4</w:t>
            </w:r>
            <w:r w:rsidRPr="00180EC2">
              <w:rPr>
                <w:noProof/>
                <w:szCs w:val="22"/>
              </w:rPr>
              <w:t>, abdominal pain, diarrhoea, dyspepsia, flatulence, vomiting</w:t>
            </w:r>
            <w:r w:rsidRPr="00180EC2">
              <w:rPr>
                <w:noProof/>
                <w:szCs w:val="22"/>
                <w:vertAlign w:val="superscript"/>
              </w:rPr>
              <w:t>1</w:t>
            </w:r>
            <w:r w:rsidRPr="00180EC2">
              <w:rPr>
                <w:noProof/>
                <w:szCs w:val="22"/>
              </w:rPr>
              <w:t>, dysphagia</w:t>
            </w:r>
            <w:r w:rsidRPr="00180EC2">
              <w:rPr>
                <w:noProof/>
                <w:szCs w:val="22"/>
                <w:vertAlign w:val="superscript"/>
              </w:rPr>
              <w:t>1</w:t>
            </w:r>
          </w:p>
        </w:tc>
        <w:tc>
          <w:tcPr>
            <w:tcW w:w="1606" w:type="dxa"/>
          </w:tcPr>
          <w:p w:rsidR="001D0EBB" w:rsidRPr="00140779" w:rsidRDefault="001D0EBB" w:rsidP="001D0EBB">
            <w:pPr>
              <w:rPr>
                <w:noProof/>
                <w:szCs w:val="22"/>
                <w:vertAlign w:val="superscript"/>
              </w:rPr>
            </w:pPr>
            <w:r w:rsidRPr="00180EC2">
              <w:rPr>
                <w:noProof/>
                <w:szCs w:val="22"/>
              </w:rPr>
              <w:t>Constipation, gastritis, stomatitis, gastrointestinal inflammation (including aggravation of gastrointestinal inflammation), eructation</w:t>
            </w:r>
          </w:p>
        </w:tc>
        <w:tc>
          <w:tcPr>
            <w:tcW w:w="1833" w:type="dxa"/>
          </w:tcPr>
          <w:p w:rsidR="001D0EBB" w:rsidRPr="00180EC2" w:rsidRDefault="001D0EBB">
            <w:pPr>
              <w:rPr>
                <w:noProof/>
                <w:szCs w:val="22"/>
              </w:rPr>
            </w:pPr>
            <w:r w:rsidRPr="00180EC2">
              <w:rPr>
                <w:noProof/>
                <w:szCs w:val="22"/>
              </w:rPr>
              <w:t>Gastrointestinal haemorrhage</w:t>
            </w:r>
            <w:r w:rsidRPr="00180EC2">
              <w:rPr>
                <w:noProof/>
                <w:szCs w:val="22"/>
                <w:vertAlign w:val="superscript"/>
              </w:rPr>
              <w:t>4</w:t>
            </w:r>
            <w:r w:rsidRPr="00180EC2">
              <w:rPr>
                <w:noProof/>
                <w:szCs w:val="22"/>
              </w:rPr>
              <w:t>, duodenal ulcer, gastric ulcer, intestinal ulcer, large intestine perforation, oesophagitis, melaena, pancreatitis, colitis</w:t>
            </w:r>
            <w:r w:rsidRPr="00180EC2">
              <w:rPr>
                <w:noProof/>
                <w:szCs w:val="22"/>
                <w:vertAlign w:val="superscript"/>
              </w:rPr>
              <w:t>4</w:t>
            </w:r>
          </w:p>
        </w:tc>
        <w:tc>
          <w:tcPr>
            <w:tcW w:w="1660" w:type="dxa"/>
          </w:tcPr>
          <w:p w:rsidR="001D0EBB" w:rsidRPr="00180EC2" w:rsidRDefault="001D0EBB" w:rsidP="001D0EBB">
            <w:pPr>
              <w:rPr>
                <w:noProof/>
                <w:szCs w:val="22"/>
              </w:rPr>
            </w:pPr>
          </w:p>
        </w:tc>
        <w:tc>
          <w:tcPr>
            <w:tcW w:w="1622" w:type="dxa"/>
          </w:tcPr>
          <w:p w:rsidR="001D0EBB" w:rsidRPr="00180EC2" w:rsidRDefault="001D0EBB" w:rsidP="001D0EBB">
            <w:pPr>
              <w:rPr>
                <w:noProof/>
                <w:szCs w:val="22"/>
              </w:rPr>
            </w:pPr>
          </w:p>
        </w:tc>
      </w:tr>
      <w:tr w:rsidR="001D0EBB" w:rsidRPr="00180EC2" w:rsidTr="00140779">
        <w:tc>
          <w:tcPr>
            <w:tcW w:w="8007" w:type="dxa"/>
            <w:gridSpan w:val="5"/>
          </w:tcPr>
          <w:p w:rsidR="001D0EBB" w:rsidRPr="00180EC2" w:rsidRDefault="001D0EBB" w:rsidP="001D0EBB">
            <w:pPr>
              <w:rPr>
                <w:b/>
                <w:noProof/>
                <w:szCs w:val="22"/>
              </w:rPr>
            </w:pPr>
            <w:r w:rsidRPr="00180EC2">
              <w:rPr>
                <w:b/>
                <w:noProof/>
                <w:szCs w:val="22"/>
              </w:rPr>
              <w:t>Hepatobiliary disorders</w:t>
            </w:r>
          </w:p>
        </w:tc>
        <w:tc>
          <w:tcPr>
            <w:tcW w:w="1622" w:type="dxa"/>
          </w:tcPr>
          <w:p w:rsidR="001D0EBB" w:rsidRPr="00180EC2" w:rsidRDefault="001D0EBB" w:rsidP="001D0EBB">
            <w:pPr>
              <w:rPr>
                <w:b/>
                <w:noProof/>
                <w:szCs w:val="22"/>
              </w:rPr>
            </w:pPr>
          </w:p>
        </w:tc>
      </w:tr>
      <w:tr w:rsidR="001D0EBB" w:rsidRPr="00180EC2" w:rsidTr="00140779">
        <w:tc>
          <w:tcPr>
            <w:tcW w:w="1465" w:type="dxa"/>
          </w:tcPr>
          <w:p w:rsidR="001D0EBB" w:rsidRPr="00180EC2" w:rsidRDefault="001D0EBB" w:rsidP="001D0EBB">
            <w:pPr>
              <w:rPr>
                <w:noProof/>
                <w:szCs w:val="22"/>
              </w:rPr>
            </w:pPr>
          </w:p>
        </w:tc>
        <w:tc>
          <w:tcPr>
            <w:tcW w:w="1443" w:type="dxa"/>
          </w:tcPr>
          <w:p w:rsidR="001D0EBB" w:rsidRPr="00180EC2" w:rsidRDefault="001D0EBB" w:rsidP="001D0EBB">
            <w:pPr>
              <w:rPr>
                <w:noProof/>
                <w:szCs w:val="22"/>
              </w:rPr>
            </w:pPr>
          </w:p>
        </w:tc>
        <w:tc>
          <w:tcPr>
            <w:tcW w:w="1606" w:type="dxa"/>
          </w:tcPr>
          <w:p w:rsidR="001D0EBB" w:rsidRPr="00180EC2" w:rsidRDefault="001D0EBB" w:rsidP="001D0EBB">
            <w:pPr>
              <w:rPr>
                <w:noProof/>
                <w:szCs w:val="22"/>
              </w:rPr>
            </w:pPr>
            <w:r w:rsidRPr="00180EC2">
              <w:rPr>
                <w:noProof/>
                <w:szCs w:val="22"/>
              </w:rPr>
              <w:t>Hepatic function abnormal, hepatic enzyme increased (including increased SGOT and SGPT)</w:t>
            </w:r>
          </w:p>
        </w:tc>
        <w:tc>
          <w:tcPr>
            <w:tcW w:w="1833" w:type="dxa"/>
          </w:tcPr>
          <w:p w:rsidR="001D0EBB" w:rsidRPr="00180EC2" w:rsidRDefault="001D0EBB" w:rsidP="001D0EBB">
            <w:pPr>
              <w:rPr>
                <w:noProof/>
                <w:szCs w:val="22"/>
              </w:rPr>
            </w:pPr>
            <w:r w:rsidRPr="00180EC2">
              <w:rPr>
                <w:noProof/>
                <w:szCs w:val="22"/>
              </w:rPr>
              <w:t>Hepatitis</w:t>
            </w:r>
            <w:r w:rsidRPr="00180EC2">
              <w:rPr>
                <w:noProof/>
                <w:szCs w:val="22"/>
                <w:vertAlign w:val="superscript"/>
              </w:rPr>
              <w:t>4</w:t>
            </w:r>
          </w:p>
        </w:tc>
        <w:tc>
          <w:tcPr>
            <w:tcW w:w="1660" w:type="dxa"/>
          </w:tcPr>
          <w:p w:rsidR="001D0EBB" w:rsidRPr="00180EC2" w:rsidRDefault="001D0EBB" w:rsidP="001D0EBB">
            <w:pPr>
              <w:rPr>
                <w:noProof/>
                <w:szCs w:val="22"/>
              </w:rPr>
            </w:pPr>
            <w:r w:rsidRPr="00180EC2">
              <w:rPr>
                <w:noProof/>
                <w:szCs w:val="22"/>
              </w:rPr>
              <w:t>Hepatic failure (sometimes fatal or requiring liver transplant), fulminant hepatitis (some with fatal outcome), liver necrosis, hepatitis, jaundice</w:t>
            </w:r>
            <w:r w:rsidRPr="00180EC2" w:rsidDel="00127C19">
              <w:rPr>
                <w:noProof/>
                <w:szCs w:val="22"/>
              </w:rPr>
              <w:t xml:space="preserve"> </w:t>
            </w:r>
          </w:p>
        </w:tc>
        <w:tc>
          <w:tcPr>
            <w:tcW w:w="1622" w:type="dxa"/>
          </w:tcPr>
          <w:p w:rsidR="001D0EBB" w:rsidRPr="00180EC2" w:rsidRDefault="001D0EBB" w:rsidP="001D0EBB">
            <w:pPr>
              <w:rPr>
                <w:noProof/>
                <w:szCs w:val="22"/>
              </w:rPr>
            </w:pPr>
          </w:p>
        </w:tc>
      </w:tr>
      <w:tr w:rsidR="001D0EBB" w:rsidRPr="00180EC2" w:rsidTr="00140779">
        <w:tc>
          <w:tcPr>
            <w:tcW w:w="8007" w:type="dxa"/>
            <w:gridSpan w:val="5"/>
          </w:tcPr>
          <w:p w:rsidR="001D0EBB" w:rsidRPr="00180EC2" w:rsidRDefault="001D0EBB" w:rsidP="001D0EBB">
            <w:pPr>
              <w:rPr>
                <w:b/>
                <w:noProof/>
                <w:szCs w:val="22"/>
              </w:rPr>
            </w:pPr>
            <w:r w:rsidRPr="00180EC2">
              <w:rPr>
                <w:b/>
                <w:noProof/>
                <w:szCs w:val="22"/>
              </w:rPr>
              <w:t>Skin and subcutaneous tissue disorders</w:t>
            </w:r>
          </w:p>
        </w:tc>
        <w:tc>
          <w:tcPr>
            <w:tcW w:w="1622" w:type="dxa"/>
          </w:tcPr>
          <w:p w:rsidR="001D0EBB" w:rsidRPr="00180EC2" w:rsidRDefault="001D0EBB" w:rsidP="001D0EBB">
            <w:pPr>
              <w:rPr>
                <w:b/>
                <w:noProof/>
                <w:szCs w:val="22"/>
              </w:rPr>
            </w:pPr>
          </w:p>
        </w:tc>
      </w:tr>
      <w:tr w:rsidR="001D0EBB" w:rsidRPr="00180EC2" w:rsidTr="00140779">
        <w:tc>
          <w:tcPr>
            <w:tcW w:w="1465" w:type="dxa"/>
          </w:tcPr>
          <w:p w:rsidR="001D0EBB" w:rsidRPr="00180EC2" w:rsidRDefault="001D0EBB" w:rsidP="001D0EBB">
            <w:pPr>
              <w:rPr>
                <w:noProof/>
                <w:szCs w:val="22"/>
              </w:rPr>
            </w:pPr>
          </w:p>
        </w:tc>
        <w:tc>
          <w:tcPr>
            <w:tcW w:w="1443" w:type="dxa"/>
          </w:tcPr>
          <w:p w:rsidR="001D0EBB" w:rsidRPr="00180EC2" w:rsidRDefault="001D0EBB" w:rsidP="001D0EBB">
            <w:pPr>
              <w:rPr>
                <w:noProof/>
                <w:szCs w:val="22"/>
              </w:rPr>
            </w:pPr>
            <w:r w:rsidRPr="00180EC2">
              <w:rPr>
                <w:noProof/>
                <w:szCs w:val="22"/>
              </w:rPr>
              <w:t xml:space="preserve">Rash, </w:t>
            </w:r>
            <w:r w:rsidRPr="00180EC2">
              <w:rPr>
                <w:noProof/>
                <w:szCs w:val="22"/>
              </w:rPr>
              <w:lastRenderedPageBreak/>
              <w:t>pruritus (including pruritus generalised)</w:t>
            </w:r>
          </w:p>
        </w:tc>
        <w:tc>
          <w:tcPr>
            <w:tcW w:w="1606" w:type="dxa"/>
          </w:tcPr>
          <w:p w:rsidR="001D0EBB" w:rsidRPr="00180EC2" w:rsidRDefault="001D0EBB" w:rsidP="001D0EBB">
            <w:pPr>
              <w:rPr>
                <w:noProof/>
                <w:szCs w:val="22"/>
              </w:rPr>
            </w:pPr>
            <w:r w:rsidRPr="00180EC2">
              <w:rPr>
                <w:noProof/>
                <w:szCs w:val="22"/>
              </w:rPr>
              <w:lastRenderedPageBreak/>
              <w:t xml:space="preserve">Urticaria, </w:t>
            </w:r>
            <w:r w:rsidRPr="00180EC2">
              <w:rPr>
                <w:noProof/>
                <w:szCs w:val="22"/>
              </w:rPr>
              <w:lastRenderedPageBreak/>
              <w:t>ecchymosis</w:t>
            </w:r>
            <w:r w:rsidRPr="00180EC2">
              <w:rPr>
                <w:noProof/>
                <w:szCs w:val="22"/>
                <w:vertAlign w:val="superscript"/>
              </w:rPr>
              <w:t>4</w:t>
            </w:r>
          </w:p>
        </w:tc>
        <w:tc>
          <w:tcPr>
            <w:tcW w:w="1833" w:type="dxa"/>
          </w:tcPr>
          <w:p w:rsidR="001D0EBB" w:rsidRPr="00180EC2" w:rsidRDefault="001D0EBB" w:rsidP="001D0EBB">
            <w:pPr>
              <w:rPr>
                <w:noProof/>
                <w:szCs w:val="22"/>
              </w:rPr>
            </w:pPr>
            <w:r w:rsidRPr="00180EC2">
              <w:rPr>
                <w:noProof/>
                <w:szCs w:val="22"/>
              </w:rPr>
              <w:lastRenderedPageBreak/>
              <w:t>Alopecia</w:t>
            </w:r>
            <w:r w:rsidRPr="00180EC2">
              <w:rPr>
                <w:noProof/>
                <w:szCs w:val="22"/>
                <w:vertAlign w:val="superscript"/>
              </w:rPr>
              <w:t>4</w:t>
            </w:r>
            <w:r w:rsidRPr="00180EC2">
              <w:rPr>
                <w:noProof/>
                <w:szCs w:val="22"/>
              </w:rPr>
              <w:t xml:space="preserve">, </w:t>
            </w:r>
            <w:r w:rsidRPr="00180EC2">
              <w:rPr>
                <w:noProof/>
                <w:szCs w:val="22"/>
              </w:rPr>
              <w:lastRenderedPageBreak/>
              <w:t>alopecia, photosensitivity</w:t>
            </w:r>
          </w:p>
        </w:tc>
        <w:tc>
          <w:tcPr>
            <w:tcW w:w="1660" w:type="dxa"/>
          </w:tcPr>
          <w:p w:rsidR="001D0EBB" w:rsidRPr="00180EC2" w:rsidRDefault="001D0EBB">
            <w:pPr>
              <w:rPr>
                <w:noProof/>
                <w:szCs w:val="22"/>
              </w:rPr>
            </w:pPr>
            <w:r w:rsidRPr="00180EC2">
              <w:rPr>
                <w:noProof/>
                <w:szCs w:val="22"/>
              </w:rPr>
              <w:lastRenderedPageBreak/>
              <w:t xml:space="preserve">Dermatitis </w:t>
            </w:r>
            <w:r w:rsidRPr="00180EC2">
              <w:rPr>
                <w:noProof/>
                <w:szCs w:val="22"/>
              </w:rPr>
              <w:lastRenderedPageBreak/>
              <w:t>exfoliative</w:t>
            </w:r>
            <w:r w:rsidRPr="00180EC2">
              <w:rPr>
                <w:noProof/>
                <w:szCs w:val="22"/>
                <w:vertAlign w:val="superscript"/>
              </w:rPr>
              <w:t>4</w:t>
            </w:r>
            <w:r w:rsidRPr="00180EC2">
              <w:rPr>
                <w:noProof/>
                <w:szCs w:val="22"/>
              </w:rPr>
              <w:t>, erthema multiforme</w:t>
            </w:r>
            <w:r w:rsidRPr="00180EC2">
              <w:rPr>
                <w:noProof/>
                <w:szCs w:val="22"/>
                <w:vertAlign w:val="superscript"/>
              </w:rPr>
              <w:t>4</w:t>
            </w:r>
            <w:r w:rsidRPr="00180EC2">
              <w:rPr>
                <w:noProof/>
                <w:szCs w:val="22"/>
              </w:rPr>
              <w:t>, Stevens-Johnson syndrome</w:t>
            </w:r>
            <w:r w:rsidRPr="00180EC2">
              <w:rPr>
                <w:noProof/>
                <w:szCs w:val="22"/>
                <w:vertAlign w:val="superscript"/>
              </w:rPr>
              <w:t>4</w:t>
            </w:r>
            <w:r w:rsidRPr="00180EC2">
              <w:rPr>
                <w:noProof/>
                <w:szCs w:val="22"/>
              </w:rPr>
              <w:t>, toxic epidermal necrolysis</w:t>
            </w:r>
            <w:r w:rsidRPr="00180EC2">
              <w:rPr>
                <w:noProof/>
                <w:szCs w:val="22"/>
                <w:vertAlign w:val="superscript"/>
              </w:rPr>
              <w:t>4</w:t>
            </w:r>
            <w:r w:rsidRPr="00180EC2">
              <w:rPr>
                <w:noProof/>
                <w:szCs w:val="22"/>
              </w:rPr>
              <w:t>, drug reaction with eosinophilia and systemic symptoms (DRESS) , acute generalised exanthematous pustulosis (AGEP)</w:t>
            </w:r>
            <w:r w:rsidRPr="00180EC2">
              <w:rPr>
                <w:noProof/>
                <w:szCs w:val="22"/>
                <w:vertAlign w:val="superscript"/>
              </w:rPr>
              <w:t xml:space="preserve"> 4</w:t>
            </w:r>
            <w:r w:rsidRPr="00180EC2">
              <w:rPr>
                <w:noProof/>
                <w:szCs w:val="22"/>
              </w:rPr>
              <w:t>, dermatitis bullous</w:t>
            </w:r>
            <w:r w:rsidRPr="00180EC2">
              <w:rPr>
                <w:noProof/>
                <w:szCs w:val="22"/>
                <w:vertAlign w:val="superscript"/>
              </w:rPr>
              <w:t>4</w:t>
            </w:r>
          </w:p>
        </w:tc>
        <w:tc>
          <w:tcPr>
            <w:tcW w:w="1622" w:type="dxa"/>
          </w:tcPr>
          <w:p w:rsidR="001D0EBB" w:rsidRPr="00180EC2" w:rsidRDefault="001D0EBB">
            <w:pPr>
              <w:rPr>
                <w:noProof/>
                <w:szCs w:val="22"/>
              </w:rPr>
            </w:pPr>
            <w:r w:rsidRPr="00180EC2">
              <w:rPr>
                <w:noProof/>
                <w:szCs w:val="22"/>
              </w:rPr>
              <w:lastRenderedPageBreak/>
              <w:t xml:space="preserve">Ecchymosis, </w:t>
            </w:r>
            <w:r w:rsidRPr="00180EC2">
              <w:rPr>
                <w:noProof/>
                <w:szCs w:val="22"/>
              </w:rPr>
              <w:lastRenderedPageBreak/>
              <w:t xml:space="preserve">bullous eruption, exfoliative dermatitis, </w:t>
            </w:r>
          </w:p>
        </w:tc>
      </w:tr>
      <w:tr w:rsidR="001D0EBB" w:rsidRPr="00180EC2" w:rsidTr="00140779">
        <w:tc>
          <w:tcPr>
            <w:tcW w:w="8007" w:type="dxa"/>
            <w:gridSpan w:val="5"/>
          </w:tcPr>
          <w:p w:rsidR="001D0EBB" w:rsidRPr="00180EC2" w:rsidRDefault="001D0EBB" w:rsidP="001D0EBB">
            <w:pPr>
              <w:rPr>
                <w:b/>
                <w:noProof/>
                <w:szCs w:val="22"/>
              </w:rPr>
            </w:pPr>
            <w:r w:rsidRPr="00180EC2">
              <w:rPr>
                <w:b/>
                <w:noProof/>
                <w:szCs w:val="22"/>
              </w:rPr>
              <w:lastRenderedPageBreak/>
              <w:t>Musculoskeletal and connective tissue disorders</w:t>
            </w:r>
          </w:p>
        </w:tc>
        <w:tc>
          <w:tcPr>
            <w:tcW w:w="1622" w:type="dxa"/>
          </w:tcPr>
          <w:p w:rsidR="001D0EBB" w:rsidRPr="00180EC2" w:rsidRDefault="001D0EBB" w:rsidP="001D0EBB">
            <w:pPr>
              <w:rPr>
                <w:b/>
                <w:noProof/>
                <w:szCs w:val="22"/>
              </w:rPr>
            </w:pPr>
          </w:p>
        </w:tc>
      </w:tr>
      <w:tr w:rsidR="001D0EBB" w:rsidRPr="00180EC2" w:rsidTr="00140779">
        <w:tc>
          <w:tcPr>
            <w:tcW w:w="1465" w:type="dxa"/>
          </w:tcPr>
          <w:p w:rsidR="001D0EBB" w:rsidRPr="00180EC2" w:rsidRDefault="001D0EBB" w:rsidP="001D0EBB">
            <w:pPr>
              <w:rPr>
                <w:noProof/>
                <w:szCs w:val="22"/>
              </w:rPr>
            </w:pPr>
          </w:p>
        </w:tc>
        <w:tc>
          <w:tcPr>
            <w:tcW w:w="1443" w:type="dxa"/>
          </w:tcPr>
          <w:p w:rsidR="001D0EBB" w:rsidRPr="00180EC2" w:rsidRDefault="001D0EBB" w:rsidP="001D0EBB">
            <w:pPr>
              <w:rPr>
                <w:noProof/>
                <w:szCs w:val="22"/>
              </w:rPr>
            </w:pPr>
            <w:r w:rsidRPr="00180EC2">
              <w:rPr>
                <w:noProof/>
                <w:szCs w:val="22"/>
              </w:rPr>
              <w:t>Arthralgia</w:t>
            </w:r>
            <w:r w:rsidRPr="00180EC2">
              <w:rPr>
                <w:noProof/>
                <w:szCs w:val="22"/>
                <w:vertAlign w:val="superscript"/>
              </w:rPr>
              <w:t>4</w:t>
            </w:r>
          </w:p>
        </w:tc>
        <w:tc>
          <w:tcPr>
            <w:tcW w:w="1606" w:type="dxa"/>
          </w:tcPr>
          <w:p w:rsidR="001D0EBB" w:rsidRPr="00180EC2" w:rsidRDefault="001D0EBB">
            <w:pPr>
              <w:rPr>
                <w:noProof/>
                <w:szCs w:val="22"/>
              </w:rPr>
            </w:pPr>
            <w:r w:rsidRPr="00180EC2">
              <w:rPr>
                <w:noProof/>
                <w:szCs w:val="22"/>
              </w:rPr>
              <w:t>Muscle spasms (leg cramps)</w:t>
            </w:r>
          </w:p>
        </w:tc>
        <w:tc>
          <w:tcPr>
            <w:tcW w:w="1833" w:type="dxa"/>
          </w:tcPr>
          <w:p w:rsidR="001D0EBB" w:rsidRPr="00180EC2" w:rsidRDefault="001D0EBB" w:rsidP="001D0EBB">
            <w:pPr>
              <w:rPr>
                <w:noProof/>
                <w:szCs w:val="22"/>
              </w:rPr>
            </w:pPr>
          </w:p>
        </w:tc>
        <w:tc>
          <w:tcPr>
            <w:tcW w:w="1660" w:type="dxa"/>
          </w:tcPr>
          <w:p w:rsidR="001D0EBB" w:rsidRPr="00180EC2" w:rsidRDefault="001D0EBB" w:rsidP="001D0EBB">
            <w:pPr>
              <w:rPr>
                <w:noProof/>
                <w:szCs w:val="22"/>
              </w:rPr>
            </w:pPr>
            <w:r w:rsidRPr="00180EC2">
              <w:rPr>
                <w:noProof/>
                <w:szCs w:val="22"/>
              </w:rPr>
              <w:t>Myositis</w:t>
            </w:r>
            <w:r w:rsidRPr="00180EC2">
              <w:rPr>
                <w:noProof/>
                <w:szCs w:val="22"/>
                <w:vertAlign w:val="superscript"/>
              </w:rPr>
              <w:t>4</w:t>
            </w:r>
          </w:p>
        </w:tc>
        <w:tc>
          <w:tcPr>
            <w:tcW w:w="1622" w:type="dxa"/>
          </w:tcPr>
          <w:p w:rsidR="001D0EBB" w:rsidRPr="00180EC2" w:rsidRDefault="001D0EBB" w:rsidP="001D0EBB">
            <w:pPr>
              <w:rPr>
                <w:noProof/>
                <w:szCs w:val="22"/>
              </w:rPr>
            </w:pPr>
          </w:p>
        </w:tc>
      </w:tr>
      <w:tr w:rsidR="001D0EBB" w:rsidRPr="00180EC2" w:rsidTr="00140779">
        <w:tc>
          <w:tcPr>
            <w:tcW w:w="8007" w:type="dxa"/>
            <w:gridSpan w:val="5"/>
          </w:tcPr>
          <w:p w:rsidR="001D0EBB" w:rsidRPr="00180EC2" w:rsidRDefault="001D0EBB" w:rsidP="001D0EBB">
            <w:pPr>
              <w:rPr>
                <w:b/>
                <w:noProof/>
                <w:szCs w:val="22"/>
              </w:rPr>
            </w:pPr>
            <w:r w:rsidRPr="00180EC2">
              <w:rPr>
                <w:b/>
                <w:noProof/>
                <w:szCs w:val="22"/>
              </w:rPr>
              <w:t>Renal and urinary disorders</w:t>
            </w:r>
          </w:p>
        </w:tc>
        <w:tc>
          <w:tcPr>
            <w:tcW w:w="1622" w:type="dxa"/>
          </w:tcPr>
          <w:p w:rsidR="001D0EBB" w:rsidRPr="00180EC2" w:rsidRDefault="001D0EBB" w:rsidP="001D0EBB">
            <w:pPr>
              <w:rPr>
                <w:b/>
                <w:noProof/>
                <w:szCs w:val="22"/>
              </w:rPr>
            </w:pPr>
          </w:p>
        </w:tc>
      </w:tr>
      <w:tr w:rsidR="001D0EBB" w:rsidRPr="00180EC2" w:rsidTr="00140779">
        <w:tc>
          <w:tcPr>
            <w:tcW w:w="1465" w:type="dxa"/>
          </w:tcPr>
          <w:p w:rsidR="001D0EBB" w:rsidRPr="00180EC2" w:rsidRDefault="001D0EBB" w:rsidP="001D0EBB">
            <w:pPr>
              <w:rPr>
                <w:noProof/>
                <w:szCs w:val="22"/>
              </w:rPr>
            </w:pPr>
          </w:p>
        </w:tc>
        <w:tc>
          <w:tcPr>
            <w:tcW w:w="1443" w:type="dxa"/>
          </w:tcPr>
          <w:p w:rsidR="001D0EBB" w:rsidRPr="00180EC2" w:rsidRDefault="001D0EBB" w:rsidP="001D0EBB">
            <w:pPr>
              <w:rPr>
                <w:noProof/>
                <w:szCs w:val="22"/>
              </w:rPr>
            </w:pPr>
          </w:p>
        </w:tc>
        <w:tc>
          <w:tcPr>
            <w:tcW w:w="1606" w:type="dxa"/>
          </w:tcPr>
          <w:p w:rsidR="001D0EBB" w:rsidRPr="00180EC2" w:rsidRDefault="001D0EBB" w:rsidP="001D0EBB">
            <w:pPr>
              <w:rPr>
                <w:noProof/>
                <w:szCs w:val="22"/>
              </w:rPr>
            </w:pPr>
            <w:r w:rsidRPr="00180EC2">
              <w:rPr>
                <w:noProof/>
                <w:szCs w:val="22"/>
              </w:rPr>
              <w:t>Blood creatinine increased, blood urea increased</w:t>
            </w:r>
          </w:p>
        </w:tc>
        <w:tc>
          <w:tcPr>
            <w:tcW w:w="1833" w:type="dxa"/>
          </w:tcPr>
          <w:p w:rsidR="001D0EBB" w:rsidRPr="00180EC2" w:rsidRDefault="001D0EBB" w:rsidP="001D0EBB">
            <w:pPr>
              <w:rPr>
                <w:noProof/>
                <w:szCs w:val="22"/>
              </w:rPr>
            </w:pPr>
            <w:r w:rsidRPr="00180EC2">
              <w:rPr>
                <w:noProof/>
                <w:szCs w:val="22"/>
              </w:rPr>
              <w:t>Renal failure acute</w:t>
            </w:r>
            <w:r w:rsidRPr="00180EC2">
              <w:rPr>
                <w:noProof/>
                <w:szCs w:val="22"/>
                <w:vertAlign w:val="superscript"/>
              </w:rPr>
              <w:t>4</w:t>
            </w:r>
            <w:r w:rsidRPr="00180EC2">
              <w:rPr>
                <w:noProof/>
                <w:szCs w:val="22"/>
              </w:rPr>
              <w:t>, hyponatraemia</w:t>
            </w:r>
            <w:r w:rsidRPr="00180EC2">
              <w:rPr>
                <w:noProof/>
                <w:szCs w:val="22"/>
                <w:vertAlign w:val="superscript"/>
              </w:rPr>
              <w:t>4</w:t>
            </w:r>
          </w:p>
        </w:tc>
        <w:tc>
          <w:tcPr>
            <w:tcW w:w="1660" w:type="dxa"/>
          </w:tcPr>
          <w:p w:rsidR="001D0EBB" w:rsidRPr="00180EC2" w:rsidRDefault="00467781" w:rsidP="001D0EBB">
            <w:pPr>
              <w:rPr>
                <w:noProof/>
                <w:szCs w:val="22"/>
              </w:rPr>
            </w:pPr>
            <w:r w:rsidRPr="00180EC2">
              <w:rPr>
                <w:noProof/>
                <w:szCs w:val="22"/>
              </w:rPr>
              <w:t>Tubulointerstitial nephritis</w:t>
            </w:r>
            <w:r w:rsidRPr="00180EC2">
              <w:rPr>
                <w:noProof/>
                <w:szCs w:val="22"/>
                <w:vertAlign w:val="superscript"/>
              </w:rPr>
              <w:t>4</w:t>
            </w:r>
            <w:r w:rsidRPr="00180EC2">
              <w:rPr>
                <w:noProof/>
                <w:szCs w:val="22"/>
              </w:rPr>
              <w:t>, nephrotic syndrome</w:t>
            </w:r>
            <w:r w:rsidRPr="00180EC2">
              <w:rPr>
                <w:noProof/>
                <w:szCs w:val="22"/>
                <w:vertAlign w:val="superscript"/>
              </w:rPr>
              <w:t>4</w:t>
            </w:r>
            <w:r w:rsidRPr="00180EC2">
              <w:rPr>
                <w:noProof/>
                <w:szCs w:val="22"/>
              </w:rPr>
              <w:t>, glomerulonephritis minimal lesion</w:t>
            </w:r>
            <w:r w:rsidRPr="00180EC2">
              <w:rPr>
                <w:noProof/>
                <w:szCs w:val="22"/>
                <w:vertAlign w:val="superscript"/>
              </w:rPr>
              <w:t>4</w:t>
            </w:r>
          </w:p>
        </w:tc>
        <w:tc>
          <w:tcPr>
            <w:tcW w:w="1622" w:type="dxa"/>
          </w:tcPr>
          <w:p w:rsidR="001D0EBB" w:rsidRPr="00140779" w:rsidRDefault="001D0EBB" w:rsidP="001D0EBB">
            <w:pPr>
              <w:rPr>
                <w:noProof/>
                <w:szCs w:val="22"/>
              </w:rPr>
            </w:pPr>
          </w:p>
        </w:tc>
      </w:tr>
      <w:tr w:rsidR="001D0EBB" w:rsidRPr="00180EC2" w:rsidTr="00140779">
        <w:tc>
          <w:tcPr>
            <w:tcW w:w="8007" w:type="dxa"/>
            <w:gridSpan w:val="5"/>
          </w:tcPr>
          <w:p w:rsidR="001D0EBB" w:rsidRPr="00180EC2" w:rsidRDefault="001D0EBB" w:rsidP="001D0EBB">
            <w:pPr>
              <w:rPr>
                <w:b/>
                <w:noProof/>
                <w:szCs w:val="22"/>
              </w:rPr>
            </w:pPr>
            <w:r w:rsidRPr="00180EC2">
              <w:rPr>
                <w:b/>
                <w:noProof/>
                <w:szCs w:val="22"/>
              </w:rPr>
              <w:t xml:space="preserve">Reproductive system and breast disorders </w:t>
            </w:r>
          </w:p>
        </w:tc>
        <w:tc>
          <w:tcPr>
            <w:tcW w:w="1622" w:type="dxa"/>
          </w:tcPr>
          <w:p w:rsidR="001D0EBB" w:rsidRPr="00180EC2" w:rsidRDefault="001D0EBB" w:rsidP="001D0EBB">
            <w:pPr>
              <w:rPr>
                <w:b/>
                <w:noProof/>
                <w:szCs w:val="22"/>
              </w:rPr>
            </w:pPr>
          </w:p>
        </w:tc>
      </w:tr>
      <w:tr w:rsidR="001D0EBB" w:rsidRPr="00180EC2" w:rsidTr="00140779">
        <w:tc>
          <w:tcPr>
            <w:tcW w:w="1465" w:type="dxa"/>
          </w:tcPr>
          <w:p w:rsidR="001D0EBB" w:rsidRPr="00180EC2" w:rsidRDefault="001D0EBB" w:rsidP="001D0EBB">
            <w:pPr>
              <w:rPr>
                <w:noProof/>
                <w:szCs w:val="22"/>
              </w:rPr>
            </w:pPr>
          </w:p>
        </w:tc>
        <w:tc>
          <w:tcPr>
            <w:tcW w:w="1443" w:type="dxa"/>
          </w:tcPr>
          <w:p w:rsidR="001D0EBB" w:rsidRPr="00180EC2" w:rsidRDefault="001D0EBB" w:rsidP="001D0EBB">
            <w:pPr>
              <w:rPr>
                <w:noProof/>
                <w:szCs w:val="22"/>
              </w:rPr>
            </w:pPr>
          </w:p>
        </w:tc>
        <w:tc>
          <w:tcPr>
            <w:tcW w:w="1606" w:type="dxa"/>
          </w:tcPr>
          <w:p w:rsidR="001D0EBB" w:rsidRPr="00180EC2" w:rsidRDefault="001D0EBB" w:rsidP="001D0EBB">
            <w:pPr>
              <w:rPr>
                <w:noProof/>
                <w:szCs w:val="22"/>
              </w:rPr>
            </w:pPr>
          </w:p>
        </w:tc>
        <w:tc>
          <w:tcPr>
            <w:tcW w:w="1833" w:type="dxa"/>
          </w:tcPr>
          <w:p w:rsidR="001D0EBB" w:rsidRPr="00180EC2" w:rsidRDefault="00467781" w:rsidP="001D0EBB">
            <w:pPr>
              <w:rPr>
                <w:noProof/>
                <w:szCs w:val="22"/>
              </w:rPr>
            </w:pPr>
            <w:r w:rsidRPr="00180EC2">
              <w:rPr>
                <w:noProof/>
                <w:szCs w:val="22"/>
              </w:rPr>
              <w:t>Menstrual disorder</w:t>
            </w:r>
            <w:r w:rsidRPr="00180EC2">
              <w:rPr>
                <w:noProof/>
                <w:szCs w:val="22"/>
                <w:vertAlign w:val="superscript"/>
              </w:rPr>
              <w:t>4</w:t>
            </w:r>
          </w:p>
        </w:tc>
        <w:tc>
          <w:tcPr>
            <w:tcW w:w="1660" w:type="dxa"/>
          </w:tcPr>
          <w:p w:rsidR="001D0EBB" w:rsidRPr="00180EC2" w:rsidRDefault="001D0EBB" w:rsidP="001D0EBB">
            <w:pPr>
              <w:rPr>
                <w:noProof/>
                <w:szCs w:val="22"/>
              </w:rPr>
            </w:pPr>
          </w:p>
        </w:tc>
        <w:tc>
          <w:tcPr>
            <w:tcW w:w="1622" w:type="dxa"/>
          </w:tcPr>
          <w:p w:rsidR="001D0EBB" w:rsidRPr="00140779" w:rsidRDefault="00467781" w:rsidP="001D0EBB">
            <w:pPr>
              <w:rPr>
                <w:noProof/>
                <w:szCs w:val="22"/>
                <w:vertAlign w:val="superscript"/>
              </w:rPr>
            </w:pPr>
            <w:r w:rsidRPr="00180EC2">
              <w:rPr>
                <w:noProof/>
                <w:szCs w:val="22"/>
              </w:rPr>
              <w:t>Infertility female (female fertility decreased)</w:t>
            </w:r>
            <w:r w:rsidRPr="00180EC2">
              <w:rPr>
                <w:noProof/>
                <w:szCs w:val="22"/>
                <w:vertAlign w:val="superscript"/>
              </w:rPr>
              <w:t>3</w:t>
            </w:r>
          </w:p>
        </w:tc>
      </w:tr>
      <w:tr w:rsidR="001D0EBB" w:rsidRPr="00180EC2" w:rsidTr="00140779">
        <w:tc>
          <w:tcPr>
            <w:tcW w:w="8007" w:type="dxa"/>
            <w:gridSpan w:val="5"/>
          </w:tcPr>
          <w:p w:rsidR="001D0EBB" w:rsidRPr="00180EC2" w:rsidRDefault="001D0EBB" w:rsidP="001D0EBB">
            <w:pPr>
              <w:rPr>
                <w:b/>
                <w:noProof/>
                <w:szCs w:val="22"/>
              </w:rPr>
            </w:pPr>
            <w:r w:rsidRPr="00180EC2">
              <w:rPr>
                <w:b/>
                <w:noProof/>
                <w:szCs w:val="22"/>
              </w:rPr>
              <w:t>General disorders and adminitrative site conditions</w:t>
            </w:r>
          </w:p>
        </w:tc>
        <w:tc>
          <w:tcPr>
            <w:tcW w:w="1622" w:type="dxa"/>
          </w:tcPr>
          <w:p w:rsidR="001D0EBB" w:rsidRPr="00180EC2" w:rsidRDefault="001D0EBB" w:rsidP="001D0EBB">
            <w:pPr>
              <w:rPr>
                <w:b/>
                <w:noProof/>
                <w:szCs w:val="22"/>
              </w:rPr>
            </w:pPr>
          </w:p>
        </w:tc>
      </w:tr>
      <w:tr w:rsidR="001D0EBB" w:rsidRPr="00180EC2" w:rsidTr="00140779">
        <w:tc>
          <w:tcPr>
            <w:tcW w:w="1465" w:type="dxa"/>
          </w:tcPr>
          <w:p w:rsidR="001D0EBB" w:rsidRPr="00180EC2" w:rsidRDefault="001D0EBB" w:rsidP="001D0EBB">
            <w:pPr>
              <w:rPr>
                <w:noProof/>
                <w:szCs w:val="22"/>
              </w:rPr>
            </w:pPr>
          </w:p>
        </w:tc>
        <w:tc>
          <w:tcPr>
            <w:tcW w:w="1443" w:type="dxa"/>
          </w:tcPr>
          <w:p w:rsidR="001D0EBB" w:rsidRPr="00180EC2" w:rsidRDefault="00467781">
            <w:pPr>
              <w:rPr>
                <w:noProof/>
                <w:szCs w:val="22"/>
              </w:rPr>
            </w:pPr>
            <w:r w:rsidRPr="00180EC2">
              <w:rPr>
                <w:noProof/>
                <w:szCs w:val="22"/>
              </w:rPr>
              <w:t xml:space="preserve">Influenza </w:t>
            </w:r>
            <w:r w:rsidR="001D0EBB" w:rsidRPr="00180EC2">
              <w:rPr>
                <w:noProof/>
                <w:szCs w:val="22"/>
              </w:rPr>
              <w:t xml:space="preserve">like </w:t>
            </w:r>
            <w:r w:rsidRPr="00180EC2">
              <w:rPr>
                <w:noProof/>
                <w:szCs w:val="22"/>
              </w:rPr>
              <w:t>ilness, oedema</w:t>
            </w:r>
            <w:r w:rsidR="001D0EBB" w:rsidRPr="00180EC2">
              <w:rPr>
                <w:noProof/>
                <w:szCs w:val="22"/>
              </w:rPr>
              <w:t xml:space="preserve"> peripheral /fluid retention</w:t>
            </w:r>
          </w:p>
        </w:tc>
        <w:tc>
          <w:tcPr>
            <w:tcW w:w="1606" w:type="dxa"/>
          </w:tcPr>
          <w:p w:rsidR="001D0EBB" w:rsidRPr="00180EC2" w:rsidRDefault="00467781" w:rsidP="001D0EBB">
            <w:pPr>
              <w:rPr>
                <w:noProof/>
                <w:szCs w:val="22"/>
              </w:rPr>
            </w:pPr>
            <w:r w:rsidRPr="00180EC2">
              <w:rPr>
                <w:noProof/>
                <w:szCs w:val="22"/>
              </w:rPr>
              <w:t>Face oedema, chest pain</w:t>
            </w:r>
            <w:r w:rsidRPr="00180EC2">
              <w:rPr>
                <w:noProof/>
                <w:szCs w:val="22"/>
                <w:vertAlign w:val="superscript"/>
              </w:rPr>
              <w:t>4</w:t>
            </w:r>
          </w:p>
        </w:tc>
        <w:tc>
          <w:tcPr>
            <w:tcW w:w="1833" w:type="dxa"/>
          </w:tcPr>
          <w:p w:rsidR="001D0EBB" w:rsidRPr="00180EC2" w:rsidRDefault="001D0EBB" w:rsidP="001D0EBB">
            <w:pPr>
              <w:rPr>
                <w:noProof/>
                <w:szCs w:val="22"/>
              </w:rPr>
            </w:pPr>
          </w:p>
        </w:tc>
        <w:tc>
          <w:tcPr>
            <w:tcW w:w="1660" w:type="dxa"/>
          </w:tcPr>
          <w:p w:rsidR="001D0EBB" w:rsidRPr="00180EC2" w:rsidRDefault="001D0EBB" w:rsidP="001D0EBB">
            <w:pPr>
              <w:rPr>
                <w:noProof/>
                <w:szCs w:val="22"/>
              </w:rPr>
            </w:pPr>
          </w:p>
        </w:tc>
        <w:tc>
          <w:tcPr>
            <w:tcW w:w="1622" w:type="dxa"/>
          </w:tcPr>
          <w:p w:rsidR="001D0EBB" w:rsidRPr="00180EC2" w:rsidRDefault="001D0EBB" w:rsidP="001D0EBB">
            <w:pPr>
              <w:rPr>
                <w:noProof/>
                <w:szCs w:val="22"/>
              </w:rPr>
            </w:pPr>
          </w:p>
        </w:tc>
      </w:tr>
      <w:tr w:rsidR="00467781" w:rsidRPr="00180EC2" w:rsidTr="00671610">
        <w:tc>
          <w:tcPr>
            <w:tcW w:w="9629" w:type="dxa"/>
            <w:gridSpan w:val="6"/>
          </w:tcPr>
          <w:p w:rsidR="00467781" w:rsidRPr="00140779" w:rsidRDefault="00467781" w:rsidP="001D0EBB">
            <w:pPr>
              <w:rPr>
                <w:b/>
                <w:noProof/>
                <w:szCs w:val="22"/>
              </w:rPr>
            </w:pPr>
            <w:r w:rsidRPr="00180EC2">
              <w:rPr>
                <w:b/>
                <w:noProof/>
                <w:szCs w:val="22"/>
              </w:rPr>
              <w:t>Injury, poisoning and procedural conditions</w:t>
            </w:r>
          </w:p>
        </w:tc>
      </w:tr>
      <w:tr w:rsidR="00467781" w:rsidRPr="00180EC2" w:rsidTr="00127C19">
        <w:tc>
          <w:tcPr>
            <w:tcW w:w="1465" w:type="dxa"/>
          </w:tcPr>
          <w:p w:rsidR="00467781" w:rsidRPr="00180EC2" w:rsidRDefault="00467781" w:rsidP="001D0EBB">
            <w:pPr>
              <w:rPr>
                <w:noProof/>
                <w:szCs w:val="22"/>
              </w:rPr>
            </w:pPr>
          </w:p>
        </w:tc>
        <w:tc>
          <w:tcPr>
            <w:tcW w:w="1443" w:type="dxa"/>
          </w:tcPr>
          <w:p w:rsidR="00467781" w:rsidRPr="00180EC2" w:rsidDel="00467781" w:rsidRDefault="00467781" w:rsidP="00467781">
            <w:pPr>
              <w:rPr>
                <w:noProof/>
                <w:szCs w:val="22"/>
              </w:rPr>
            </w:pPr>
            <w:r w:rsidRPr="00180EC2">
              <w:rPr>
                <w:noProof/>
                <w:szCs w:val="22"/>
              </w:rPr>
              <w:t>Injury (accidental injury)</w:t>
            </w:r>
          </w:p>
        </w:tc>
        <w:tc>
          <w:tcPr>
            <w:tcW w:w="1606" w:type="dxa"/>
          </w:tcPr>
          <w:p w:rsidR="00467781" w:rsidRPr="00180EC2" w:rsidRDefault="00467781" w:rsidP="001D0EBB">
            <w:pPr>
              <w:rPr>
                <w:noProof/>
                <w:szCs w:val="22"/>
              </w:rPr>
            </w:pPr>
          </w:p>
        </w:tc>
        <w:tc>
          <w:tcPr>
            <w:tcW w:w="1833" w:type="dxa"/>
          </w:tcPr>
          <w:p w:rsidR="00467781" w:rsidRPr="00180EC2" w:rsidRDefault="00467781" w:rsidP="001D0EBB">
            <w:pPr>
              <w:rPr>
                <w:noProof/>
                <w:szCs w:val="22"/>
              </w:rPr>
            </w:pPr>
          </w:p>
        </w:tc>
        <w:tc>
          <w:tcPr>
            <w:tcW w:w="1660" w:type="dxa"/>
          </w:tcPr>
          <w:p w:rsidR="00467781" w:rsidRPr="00180EC2" w:rsidDel="00127C19" w:rsidRDefault="00467781" w:rsidP="001D0EBB">
            <w:pPr>
              <w:rPr>
                <w:noProof/>
                <w:szCs w:val="22"/>
              </w:rPr>
            </w:pPr>
          </w:p>
        </w:tc>
        <w:tc>
          <w:tcPr>
            <w:tcW w:w="1622" w:type="dxa"/>
          </w:tcPr>
          <w:p w:rsidR="00467781" w:rsidRPr="00180EC2" w:rsidRDefault="00467781" w:rsidP="001D0EBB">
            <w:pPr>
              <w:rPr>
                <w:noProof/>
                <w:szCs w:val="22"/>
              </w:rPr>
            </w:pPr>
          </w:p>
        </w:tc>
      </w:tr>
      <w:tr w:rsidR="00467781" w:rsidRPr="00180EC2" w:rsidTr="000F4EB1">
        <w:tc>
          <w:tcPr>
            <w:tcW w:w="9629" w:type="dxa"/>
            <w:gridSpan w:val="6"/>
          </w:tcPr>
          <w:p w:rsidR="00467781" w:rsidRPr="00140779" w:rsidRDefault="00467781" w:rsidP="001D0EBB">
            <w:pPr>
              <w:tabs>
                <w:tab w:val="clear" w:pos="567"/>
              </w:tabs>
              <w:autoSpaceDE w:val="0"/>
              <w:autoSpaceDN w:val="0"/>
              <w:adjustRightInd w:val="0"/>
              <w:spacing w:line="240" w:lineRule="auto"/>
              <w:jc w:val="both"/>
              <w:rPr>
                <w:rFonts w:eastAsia="SimSun"/>
                <w:szCs w:val="22"/>
                <w:lang w:eastAsia="fr-BE"/>
              </w:rPr>
            </w:pPr>
            <w:r w:rsidRPr="00140779">
              <w:rPr>
                <w:rFonts w:eastAsia="SimSun"/>
                <w:sz w:val="14"/>
                <w:szCs w:val="14"/>
                <w:lang w:eastAsia="fr-BE"/>
              </w:rPr>
              <w:t xml:space="preserve">1 </w:t>
            </w:r>
            <w:r w:rsidRPr="00140779">
              <w:rPr>
                <w:rFonts w:eastAsia="SimSun"/>
                <w:szCs w:val="22"/>
                <w:lang w:eastAsia="fr-BE"/>
              </w:rPr>
              <w:t>Adverse drug reactions that occurred in polyp prevention trials, representing subjects treated with</w:t>
            </w:r>
          </w:p>
          <w:p w:rsidR="00467781" w:rsidRPr="00140779" w:rsidRDefault="00467781" w:rsidP="001D0EBB">
            <w:pPr>
              <w:tabs>
                <w:tab w:val="clear" w:pos="567"/>
              </w:tabs>
              <w:autoSpaceDE w:val="0"/>
              <w:autoSpaceDN w:val="0"/>
              <w:adjustRightInd w:val="0"/>
              <w:spacing w:line="240" w:lineRule="auto"/>
              <w:jc w:val="both"/>
              <w:rPr>
                <w:rFonts w:eastAsia="SimSun"/>
                <w:szCs w:val="22"/>
                <w:lang w:eastAsia="fr-BE"/>
              </w:rPr>
            </w:pPr>
            <w:r w:rsidRPr="00140779">
              <w:rPr>
                <w:rFonts w:eastAsia="SimSun"/>
                <w:szCs w:val="22"/>
                <w:lang w:eastAsia="fr-BE"/>
              </w:rPr>
              <w:t>celecoxib 400 mg daily in 2 clinical trials of duration up to 3 years (the APC and PreSAP trials).</w:t>
            </w:r>
          </w:p>
          <w:p w:rsidR="00467781" w:rsidRPr="00140779" w:rsidRDefault="00467781" w:rsidP="001D0EBB">
            <w:pPr>
              <w:tabs>
                <w:tab w:val="clear" w:pos="567"/>
              </w:tabs>
              <w:autoSpaceDE w:val="0"/>
              <w:autoSpaceDN w:val="0"/>
              <w:adjustRightInd w:val="0"/>
              <w:spacing w:line="240" w:lineRule="auto"/>
              <w:jc w:val="both"/>
              <w:rPr>
                <w:rFonts w:eastAsia="SimSun"/>
                <w:szCs w:val="22"/>
                <w:lang w:eastAsia="fr-BE"/>
              </w:rPr>
            </w:pPr>
            <w:r w:rsidRPr="00140779">
              <w:rPr>
                <w:rFonts w:eastAsia="SimSun"/>
                <w:szCs w:val="22"/>
                <w:lang w:eastAsia="fr-BE"/>
              </w:rPr>
              <w:t>The adverse drug reactions listed above for the polyp prevention trials are only those that have been</w:t>
            </w:r>
          </w:p>
          <w:p w:rsidR="00467781" w:rsidRPr="00140779" w:rsidRDefault="00467781" w:rsidP="001D0EBB">
            <w:pPr>
              <w:tabs>
                <w:tab w:val="clear" w:pos="567"/>
              </w:tabs>
              <w:autoSpaceDE w:val="0"/>
              <w:autoSpaceDN w:val="0"/>
              <w:adjustRightInd w:val="0"/>
              <w:spacing w:line="240" w:lineRule="auto"/>
              <w:jc w:val="both"/>
              <w:rPr>
                <w:rFonts w:eastAsia="SimSun"/>
                <w:szCs w:val="22"/>
                <w:lang w:eastAsia="fr-BE"/>
              </w:rPr>
            </w:pPr>
            <w:r w:rsidRPr="00140779">
              <w:rPr>
                <w:rFonts w:eastAsia="SimSun"/>
                <w:szCs w:val="22"/>
                <w:lang w:eastAsia="fr-BE"/>
              </w:rPr>
              <w:t>previously recognized in post-marketing surveillance experience, or have occurred more frequently</w:t>
            </w:r>
          </w:p>
          <w:p w:rsidR="00467781" w:rsidRPr="00140779" w:rsidRDefault="00467781" w:rsidP="001D0EBB">
            <w:pPr>
              <w:tabs>
                <w:tab w:val="clear" w:pos="567"/>
              </w:tabs>
              <w:autoSpaceDE w:val="0"/>
              <w:autoSpaceDN w:val="0"/>
              <w:adjustRightInd w:val="0"/>
              <w:spacing w:line="240" w:lineRule="auto"/>
              <w:jc w:val="both"/>
              <w:rPr>
                <w:rFonts w:eastAsia="SimSun"/>
                <w:szCs w:val="22"/>
                <w:lang w:eastAsia="fr-BE"/>
              </w:rPr>
            </w:pPr>
            <w:r w:rsidRPr="00140779">
              <w:rPr>
                <w:rFonts w:eastAsia="SimSun"/>
                <w:szCs w:val="22"/>
                <w:lang w:eastAsia="fr-BE"/>
              </w:rPr>
              <w:t>than in the arthritis trials.</w:t>
            </w:r>
          </w:p>
          <w:p w:rsidR="00467781" w:rsidRPr="00140779" w:rsidRDefault="00467781" w:rsidP="001D0EBB">
            <w:pPr>
              <w:tabs>
                <w:tab w:val="clear" w:pos="567"/>
              </w:tabs>
              <w:autoSpaceDE w:val="0"/>
              <w:autoSpaceDN w:val="0"/>
              <w:adjustRightInd w:val="0"/>
              <w:spacing w:line="240" w:lineRule="auto"/>
              <w:jc w:val="both"/>
              <w:rPr>
                <w:rFonts w:eastAsia="SimSun"/>
                <w:sz w:val="24"/>
                <w:szCs w:val="24"/>
                <w:lang w:eastAsia="fr-BE"/>
              </w:rPr>
            </w:pPr>
            <w:r w:rsidRPr="00140779">
              <w:rPr>
                <w:rFonts w:eastAsia="SimSun"/>
                <w:sz w:val="16"/>
                <w:szCs w:val="16"/>
                <w:lang w:eastAsia="fr-BE"/>
              </w:rPr>
              <w:t xml:space="preserve">2 </w:t>
            </w:r>
            <w:r w:rsidRPr="00140779">
              <w:rPr>
                <w:rFonts w:eastAsia="SimSun"/>
                <w:sz w:val="24"/>
                <w:szCs w:val="24"/>
                <w:lang w:eastAsia="fr-BE"/>
              </w:rPr>
              <w:t xml:space="preserve">Furthermore, the following </w:t>
            </w:r>
            <w:r w:rsidRPr="00140779">
              <w:rPr>
                <w:rFonts w:eastAsia="SimSun"/>
                <w:i/>
                <w:iCs/>
                <w:sz w:val="24"/>
                <w:szCs w:val="24"/>
                <w:lang w:eastAsia="fr-BE"/>
              </w:rPr>
              <w:t xml:space="preserve">previously unknown </w:t>
            </w:r>
            <w:r w:rsidRPr="00140779">
              <w:rPr>
                <w:rFonts w:eastAsia="SimSun"/>
                <w:sz w:val="24"/>
                <w:szCs w:val="24"/>
                <w:lang w:eastAsia="fr-BE"/>
              </w:rPr>
              <w:t>adverse reactions occurred in polyp</w:t>
            </w:r>
          </w:p>
          <w:p w:rsidR="00467781" w:rsidRPr="00140779" w:rsidRDefault="00467781" w:rsidP="001D0EBB">
            <w:pPr>
              <w:tabs>
                <w:tab w:val="clear" w:pos="567"/>
              </w:tabs>
              <w:autoSpaceDE w:val="0"/>
              <w:autoSpaceDN w:val="0"/>
              <w:adjustRightInd w:val="0"/>
              <w:spacing w:line="240" w:lineRule="auto"/>
              <w:jc w:val="both"/>
              <w:rPr>
                <w:rFonts w:eastAsia="SimSun"/>
                <w:sz w:val="24"/>
                <w:szCs w:val="24"/>
                <w:lang w:eastAsia="fr-BE"/>
              </w:rPr>
            </w:pPr>
            <w:r w:rsidRPr="00140779">
              <w:rPr>
                <w:rFonts w:eastAsia="SimSun"/>
                <w:sz w:val="24"/>
                <w:szCs w:val="24"/>
                <w:lang w:eastAsia="fr-BE"/>
              </w:rPr>
              <w:t>prevention trials, representing subjects treated with celecoxib 400 mg daily in 2 clinical</w:t>
            </w:r>
          </w:p>
          <w:p w:rsidR="00467781" w:rsidRPr="00140779" w:rsidRDefault="00467781" w:rsidP="001D0EBB">
            <w:pPr>
              <w:tabs>
                <w:tab w:val="clear" w:pos="567"/>
              </w:tabs>
              <w:autoSpaceDE w:val="0"/>
              <w:autoSpaceDN w:val="0"/>
              <w:adjustRightInd w:val="0"/>
              <w:spacing w:line="240" w:lineRule="auto"/>
              <w:jc w:val="both"/>
              <w:rPr>
                <w:rFonts w:eastAsia="SimSun"/>
                <w:sz w:val="24"/>
                <w:szCs w:val="24"/>
                <w:lang w:eastAsia="fr-BE"/>
              </w:rPr>
            </w:pPr>
            <w:r w:rsidRPr="00140779">
              <w:rPr>
                <w:rFonts w:eastAsia="SimSun"/>
                <w:sz w:val="24"/>
                <w:szCs w:val="24"/>
                <w:lang w:eastAsia="fr-BE"/>
              </w:rPr>
              <w:lastRenderedPageBreak/>
              <w:t xml:space="preserve">trials of duration up to 3 years (the APC and PreSAP trials): </w:t>
            </w:r>
            <w:r w:rsidRPr="00140779">
              <w:rPr>
                <w:rFonts w:eastAsia="SimSun"/>
                <w:b/>
                <w:bCs/>
                <w:sz w:val="24"/>
                <w:szCs w:val="24"/>
                <w:lang w:eastAsia="fr-BE"/>
              </w:rPr>
              <w:t xml:space="preserve">Common: </w:t>
            </w:r>
            <w:r w:rsidRPr="00140779">
              <w:rPr>
                <w:rFonts w:eastAsia="SimSun"/>
                <w:sz w:val="24"/>
                <w:szCs w:val="24"/>
                <w:lang w:eastAsia="fr-BE"/>
              </w:rPr>
              <w:t>angina pectoris,</w:t>
            </w:r>
          </w:p>
          <w:p w:rsidR="00467781" w:rsidRPr="00140779" w:rsidRDefault="00467781" w:rsidP="001D0EBB">
            <w:pPr>
              <w:tabs>
                <w:tab w:val="clear" w:pos="567"/>
              </w:tabs>
              <w:autoSpaceDE w:val="0"/>
              <w:autoSpaceDN w:val="0"/>
              <w:adjustRightInd w:val="0"/>
              <w:spacing w:line="240" w:lineRule="auto"/>
              <w:jc w:val="both"/>
              <w:rPr>
                <w:rFonts w:eastAsia="SimSun"/>
                <w:sz w:val="24"/>
                <w:szCs w:val="24"/>
                <w:lang w:eastAsia="fr-BE"/>
              </w:rPr>
            </w:pPr>
            <w:r w:rsidRPr="00140779">
              <w:rPr>
                <w:rFonts w:eastAsia="SimSun"/>
                <w:sz w:val="24"/>
                <w:szCs w:val="24"/>
                <w:lang w:eastAsia="fr-BE"/>
              </w:rPr>
              <w:t>irritable bowel syndrome, nephrolithiasis, blood creatinine increased, benign prostatic</w:t>
            </w:r>
          </w:p>
          <w:p w:rsidR="00467781" w:rsidRPr="00140779" w:rsidRDefault="00467781" w:rsidP="001D0EBB">
            <w:pPr>
              <w:tabs>
                <w:tab w:val="clear" w:pos="567"/>
              </w:tabs>
              <w:autoSpaceDE w:val="0"/>
              <w:autoSpaceDN w:val="0"/>
              <w:adjustRightInd w:val="0"/>
              <w:spacing w:line="240" w:lineRule="auto"/>
              <w:jc w:val="both"/>
              <w:rPr>
                <w:rFonts w:eastAsia="SimSun"/>
                <w:sz w:val="24"/>
                <w:szCs w:val="24"/>
                <w:lang w:eastAsia="fr-BE"/>
              </w:rPr>
            </w:pPr>
            <w:r w:rsidRPr="00140779">
              <w:rPr>
                <w:rFonts w:eastAsia="SimSun"/>
                <w:sz w:val="24"/>
                <w:szCs w:val="24"/>
                <w:lang w:eastAsia="fr-BE"/>
              </w:rPr>
              <w:t xml:space="preserve">hyperplasia, weight increased. </w:t>
            </w:r>
            <w:r w:rsidRPr="00140779">
              <w:rPr>
                <w:rFonts w:eastAsia="SimSun"/>
                <w:b/>
                <w:bCs/>
                <w:sz w:val="24"/>
                <w:szCs w:val="24"/>
                <w:lang w:eastAsia="fr-BE"/>
              </w:rPr>
              <w:t xml:space="preserve">Uncommon: </w:t>
            </w:r>
            <w:r w:rsidRPr="00140779">
              <w:rPr>
                <w:rFonts w:eastAsia="SimSun"/>
                <w:sz w:val="24"/>
                <w:szCs w:val="24"/>
                <w:lang w:eastAsia="fr-BE"/>
              </w:rPr>
              <w:t>helicobacter infection, herpes zoster,</w:t>
            </w:r>
          </w:p>
          <w:p w:rsidR="00467781" w:rsidRPr="00140779" w:rsidRDefault="00467781" w:rsidP="001D0EBB">
            <w:pPr>
              <w:tabs>
                <w:tab w:val="clear" w:pos="567"/>
              </w:tabs>
              <w:autoSpaceDE w:val="0"/>
              <w:autoSpaceDN w:val="0"/>
              <w:adjustRightInd w:val="0"/>
              <w:spacing w:line="240" w:lineRule="auto"/>
              <w:jc w:val="both"/>
              <w:rPr>
                <w:rFonts w:eastAsia="SimSun"/>
                <w:sz w:val="24"/>
                <w:szCs w:val="24"/>
                <w:lang w:eastAsia="fr-BE"/>
              </w:rPr>
            </w:pPr>
            <w:r w:rsidRPr="00140779">
              <w:rPr>
                <w:rFonts w:eastAsia="SimSun"/>
                <w:sz w:val="24"/>
                <w:szCs w:val="24"/>
                <w:lang w:eastAsia="fr-BE"/>
              </w:rPr>
              <w:t>erysipelas, bronchopneumonia, labyrinthitis, gingival infection, lipoma, vitreous floaters,</w:t>
            </w:r>
          </w:p>
          <w:p w:rsidR="00467781" w:rsidRPr="00140779" w:rsidRDefault="00467781" w:rsidP="001D0EBB">
            <w:pPr>
              <w:tabs>
                <w:tab w:val="clear" w:pos="567"/>
              </w:tabs>
              <w:autoSpaceDE w:val="0"/>
              <w:autoSpaceDN w:val="0"/>
              <w:adjustRightInd w:val="0"/>
              <w:spacing w:line="240" w:lineRule="auto"/>
              <w:jc w:val="both"/>
              <w:rPr>
                <w:rFonts w:eastAsia="SimSun"/>
                <w:sz w:val="24"/>
                <w:szCs w:val="24"/>
                <w:lang w:eastAsia="fr-BE"/>
              </w:rPr>
            </w:pPr>
            <w:r w:rsidRPr="00140779">
              <w:rPr>
                <w:rFonts w:eastAsia="SimSun"/>
                <w:sz w:val="24"/>
                <w:szCs w:val="24"/>
                <w:lang w:eastAsia="fr-BE"/>
              </w:rPr>
              <w:t>conjunctival haemorrhage, deep vein thrombosis, dysphonia, haemorrhoidal haemorrhage,</w:t>
            </w:r>
          </w:p>
          <w:p w:rsidR="00467781" w:rsidRPr="00140779" w:rsidRDefault="00467781" w:rsidP="001D0EBB">
            <w:pPr>
              <w:tabs>
                <w:tab w:val="clear" w:pos="567"/>
              </w:tabs>
              <w:autoSpaceDE w:val="0"/>
              <w:autoSpaceDN w:val="0"/>
              <w:adjustRightInd w:val="0"/>
              <w:spacing w:line="240" w:lineRule="auto"/>
              <w:jc w:val="both"/>
              <w:rPr>
                <w:rFonts w:eastAsia="SimSun"/>
                <w:sz w:val="24"/>
                <w:szCs w:val="24"/>
                <w:lang w:eastAsia="fr-BE"/>
              </w:rPr>
            </w:pPr>
            <w:r w:rsidRPr="00140779">
              <w:rPr>
                <w:rFonts w:eastAsia="SimSun"/>
                <w:sz w:val="24"/>
                <w:szCs w:val="24"/>
                <w:lang w:eastAsia="fr-BE"/>
              </w:rPr>
              <w:t>frequent bowel movements, mouth ulceration, allergic dermatitis, ganglion, nocturia,</w:t>
            </w:r>
          </w:p>
          <w:p w:rsidR="00467781" w:rsidRPr="00140779" w:rsidRDefault="00467781" w:rsidP="001D0EBB">
            <w:pPr>
              <w:tabs>
                <w:tab w:val="clear" w:pos="567"/>
              </w:tabs>
              <w:autoSpaceDE w:val="0"/>
              <w:autoSpaceDN w:val="0"/>
              <w:adjustRightInd w:val="0"/>
              <w:spacing w:line="240" w:lineRule="auto"/>
              <w:jc w:val="both"/>
              <w:rPr>
                <w:rFonts w:eastAsia="SimSun"/>
                <w:sz w:val="24"/>
                <w:szCs w:val="24"/>
                <w:lang w:eastAsia="fr-BE"/>
              </w:rPr>
            </w:pPr>
            <w:r w:rsidRPr="00140779">
              <w:rPr>
                <w:rFonts w:eastAsia="SimSun"/>
                <w:sz w:val="24"/>
                <w:szCs w:val="24"/>
                <w:lang w:eastAsia="fr-BE"/>
              </w:rPr>
              <w:t>vaginal haemorrhage, breast tenderness, lower limb fracture, blood sodium increased.</w:t>
            </w:r>
          </w:p>
          <w:p w:rsidR="00467781" w:rsidRPr="00140779" w:rsidRDefault="00467781">
            <w:pPr>
              <w:tabs>
                <w:tab w:val="clear" w:pos="567"/>
              </w:tabs>
              <w:autoSpaceDE w:val="0"/>
              <w:autoSpaceDN w:val="0"/>
              <w:adjustRightInd w:val="0"/>
              <w:spacing w:line="240" w:lineRule="auto"/>
              <w:jc w:val="both"/>
              <w:rPr>
                <w:rFonts w:eastAsia="SimSun"/>
                <w:szCs w:val="22"/>
                <w:lang w:eastAsia="fr-BE"/>
              </w:rPr>
            </w:pPr>
            <w:r w:rsidRPr="00140779">
              <w:rPr>
                <w:rFonts w:eastAsia="SimSun"/>
                <w:sz w:val="14"/>
                <w:szCs w:val="14"/>
                <w:lang w:eastAsia="fr-BE"/>
              </w:rPr>
              <w:t xml:space="preserve">3 </w:t>
            </w:r>
            <w:r w:rsidRPr="00140779">
              <w:rPr>
                <w:rFonts w:eastAsia="SimSun"/>
                <w:szCs w:val="22"/>
                <w:lang w:eastAsia="fr-BE"/>
              </w:rPr>
              <w:t>Women intending to become pregnant are excluded from all trials, thus consultation of the trial database for the frequency of this event was not reasonable</w:t>
            </w:r>
          </w:p>
          <w:p w:rsidR="00467781" w:rsidRPr="00140779" w:rsidRDefault="00467781">
            <w:pPr>
              <w:tabs>
                <w:tab w:val="clear" w:pos="567"/>
              </w:tabs>
              <w:autoSpaceDE w:val="0"/>
              <w:autoSpaceDN w:val="0"/>
              <w:adjustRightInd w:val="0"/>
              <w:spacing w:line="240" w:lineRule="auto"/>
              <w:jc w:val="both"/>
              <w:rPr>
                <w:rFonts w:eastAsia="SimSun"/>
                <w:sz w:val="14"/>
                <w:szCs w:val="14"/>
                <w:lang w:eastAsia="fr-BE"/>
              </w:rPr>
            </w:pPr>
            <w:r w:rsidRPr="00140779">
              <w:rPr>
                <w:rFonts w:eastAsia="SimSun"/>
                <w:sz w:val="14"/>
                <w:szCs w:val="14"/>
                <w:lang w:eastAsia="fr-BE"/>
              </w:rPr>
              <w:t>4</w:t>
            </w:r>
            <w:r w:rsidRPr="00140779">
              <w:rPr>
                <w:rFonts w:eastAsia="SimSun"/>
                <w:szCs w:val="22"/>
                <w:lang w:eastAsia="fr-BE"/>
              </w:rPr>
              <w:t xml:space="preserve"> Frequencies are based on cumulative meta-analysis with pooling of trials representing exposure in 38102 patients.</w:t>
            </w:r>
          </w:p>
        </w:tc>
      </w:tr>
    </w:tbl>
    <w:p w:rsidR="00812D16" w:rsidRPr="00180EC2" w:rsidRDefault="00812D16" w:rsidP="00F05E2A">
      <w:pPr>
        <w:jc w:val="both"/>
        <w:rPr>
          <w:noProof/>
          <w:szCs w:val="22"/>
        </w:rPr>
      </w:pPr>
    </w:p>
    <w:p w:rsidR="00812D16" w:rsidRPr="00140779" w:rsidRDefault="00F05E2A" w:rsidP="00F05E2A">
      <w:pPr>
        <w:tabs>
          <w:tab w:val="clear" w:pos="567"/>
        </w:tabs>
        <w:autoSpaceDE w:val="0"/>
        <w:autoSpaceDN w:val="0"/>
        <w:adjustRightInd w:val="0"/>
        <w:spacing w:line="240" w:lineRule="auto"/>
        <w:jc w:val="both"/>
        <w:rPr>
          <w:rFonts w:eastAsia="SimSun"/>
          <w:szCs w:val="22"/>
          <w:lang w:eastAsia="fr-BE"/>
        </w:rPr>
      </w:pPr>
      <w:r w:rsidRPr="00180EC2">
        <w:rPr>
          <w:noProof/>
          <w:szCs w:val="22"/>
        </w:rPr>
        <w:tab/>
      </w:r>
      <w:r w:rsidRPr="00140779">
        <w:rPr>
          <w:rFonts w:eastAsia="SimSun"/>
          <w:szCs w:val="22"/>
          <w:lang w:eastAsia="fr-BE"/>
        </w:rPr>
        <w:t>In final data (adjudicated) from the APC and PreSAP trials in patients treated with celecoxib 400 mg daily for up to 3 years (pooled data from both trials; see Section 5.1 for results from individual trials), the excess rate over placebo for myocardial infarction was 7.6 events per 1000 patients (uncommon) and there was no excess rate for stroke (types not differentiated) over placebo.</w:t>
      </w:r>
    </w:p>
    <w:p w:rsidR="00812D16" w:rsidRPr="00180EC2" w:rsidRDefault="00812D16" w:rsidP="00F05E2A">
      <w:pPr>
        <w:tabs>
          <w:tab w:val="clear" w:pos="567"/>
          <w:tab w:val="left" w:pos="3800"/>
        </w:tabs>
        <w:jc w:val="both"/>
      </w:pPr>
    </w:p>
    <w:p w:rsidR="00F05E2A" w:rsidRPr="00140779" w:rsidRDefault="00F05E2A" w:rsidP="00F05E2A">
      <w:pPr>
        <w:tabs>
          <w:tab w:val="clear" w:pos="567"/>
        </w:tabs>
        <w:autoSpaceDE w:val="0"/>
        <w:autoSpaceDN w:val="0"/>
        <w:adjustRightInd w:val="0"/>
        <w:spacing w:line="240" w:lineRule="auto"/>
        <w:jc w:val="both"/>
        <w:rPr>
          <w:rFonts w:eastAsia="SimSun"/>
          <w:b/>
          <w:bCs/>
          <w:sz w:val="24"/>
          <w:szCs w:val="24"/>
          <w:lang w:eastAsia="fr-BE"/>
        </w:rPr>
      </w:pPr>
      <w:r w:rsidRPr="00140779">
        <w:rPr>
          <w:rFonts w:eastAsia="SimSun"/>
          <w:b/>
          <w:bCs/>
          <w:sz w:val="24"/>
          <w:szCs w:val="24"/>
          <w:lang w:eastAsia="fr-BE"/>
        </w:rPr>
        <w:t>4.9 Overdose</w:t>
      </w:r>
    </w:p>
    <w:p w:rsidR="00F05E2A" w:rsidRPr="00140779" w:rsidRDefault="00F05E2A" w:rsidP="00F05E2A">
      <w:pPr>
        <w:tabs>
          <w:tab w:val="clear" w:pos="567"/>
        </w:tabs>
        <w:autoSpaceDE w:val="0"/>
        <w:autoSpaceDN w:val="0"/>
        <w:adjustRightInd w:val="0"/>
        <w:spacing w:line="240" w:lineRule="auto"/>
        <w:jc w:val="both"/>
        <w:rPr>
          <w:rFonts w:eastAsia="SimSun"/>
          <w:b/>
          <w:bCs/>
          <w:sz w:val="24"/>
          <w:szCs w:val="24"/>
          <w:lang w:eastAsia="fr-BE"/>
        </w:rPr>
      </w:pPr>
    </w:p>
    <w:p w:rsidR="00F05E2A" w:rsidRPr="00140779" w:rsidRDefault="00F05E2A" w:rsidP="00F05E2A">
      <w:pPr>
        <w:tabs>
          <w:tab w:val="clear" w:pos="567"/>
        </w:tabs>
        <w:autoSpaceDE w:val="0"/>
        <w:autoSpaceDN w:val="0"/>
        <w:adjustRightInd w:val="0"/>
        <w:spacing w:line="240" w:lineRule="auto"/>
        <w:jc w:val="both"/>
        <w:rPr>
          <w:rFonts w:eastAsia="SimSun"/>
          <w:sz w:val="24"/>
          <w:szCs w:val="24"/>
          <w:lang w:eastAsia="fr-BE"/>
        </w:rPr>
      </w:pPr>
      <w:r w:rsidRPr="00140779">
        <w:rPr>
          <w:rFonts w:eastAsia="SimSun"/>
          <w:sz w:val="24"/>
          <w:szCs w:val="24"/>
          <w:lang w:eastAsia="fr-BE"/>
        </w:rPr>
        <w:t>There is no clinical experience of overdose. Single doses up to 1200 mg and multiple doses up to 1200 mg twice daily have been administered to healthy subjects for nine days without clinically significant adverse effects. In the event of suspected overdose, appropriate supportive medical care should be provided e.g. by eliminating the gastric contents, clinical supervision and, if necessary, the institution of symptomatic treatment. Dialysis is unlikely to be an efficient method of drug removal due to high protein binding.</w:t>
      </w:r>
    </w:p>
    <w:p w:rsidR="00F05E2A" w:rsidRPr="00140779" w:rsidRDefault="00F05E2A" w:rsidP="00F05E2A">
      <w:pPr>
        <w:tabs>
          <w:tab w:val="clear" w:pos="567"/>
        </w:tabs>
        <w:autoSpaceDE w:val="0"/>
        <w:autoSpaceDN w:val="0"/>
        <w:adjustRightInd w:val="0"/>
        <w:spacing w:line="240" w:lineRule="auto"/>
        <w:jc w:val="both"/>
        <w:rPr>
          <w:rFonts w:eastAsia="SimSun"/>
          <w:sz w:val="24"/>
          <w:szCs w:val="24"/>
          <w:lang w:eastAsia="fr-BE"/>
        </w:rPr>
      </w:pPr>
    </w:p>
    <w:p w:rsidR="00812D16" w:rsidRPr="00180EC2" w:rsidRDefault="00812D16" w:rsidP="00F05E2A">
      <w:pPr>
        <w:suppressAutoHyphens/>
        <w:ind w:left="567" w:hanging="567"/>
        <w:jc w:val="both"/>
      </w:pPr>
      <w:r w:rsidRPr="00180EC2">
        <w:rPr>
          <w:b/>
        </w:rPr>
        <w:t>5.</w:t>
      </w:r>
      <w:r w:rsidRPr="00180EC2">
        <w:rPr>
          <w:b/>
        </w:rPr>
        <w:tab/>
        <w:t>PHARMACOLOGICAL PROPERTIES</w:t>
      </w:r>
    </w:p>
    <w:p w:rsidR="00812D16" w:rsidRPr="00180EC2" w:rsidRDefault="00812D16" w:rsidP="00F05E2A">
      <w:pPr>
        <w:jc w:val="both"/>
      </w:pPr>
    </w:p>
    <w:p w:rsidR="00812D16" w:rsidRPr="00180EC2" w:rsidRDefault="00812D16" w:rsidP="00F05E2A">
      <w:pPr>
        <w:ind w:left="567" w:hanging="567"/>
        <w:jc w:val="both"/>
        <w:outlineLvl w:val="0"/>
      </w:pPr>
      <w:r w:rsidRPr="00180EC2">
        <w:rPr>
          <w:b/>
        </w:rPr>
        <w:t xml:space="preserve">5.1 </w:t>
      </w:r>
      <w:r w:rsidRPr="00180EC2">
        <w:rPr>
          <w:b/>
        </w:rPr>
        <w:tab/>
        <w:t>Pharmacodynamic properties</w:t>
      </w:r>
    </w:p>
    <w:p w:rsidR="00812D16" w:rsidRPr="00180EC2" w:rsidRDefault="00812D16" w:rsidP="00F05E2A">
      <w:pPr>
        <w:jc w:val="both"/>
      </w:pPr>
    </w:p>
    <w:p w:rsidR="00F05E2A" w:rsidRPr="00140779" w:rsidRDefault="00F05E2A" w:rsidP="00F05E2A">
      <w:pPr>
        <w:tabs>
          <w:tab w:val="clear" w:pos="567"/>
        </w:tabs>
        <w:autoSpaceDE w:val="0"/>
        <w:autoSpaceDN w:val="0"/>
        <w:adjustRightInd w:val="0"/>
        <w:spacing w:line="240" w:lineRule="auto"/>
        <w:jc w:val="both"/>
        <w:rPr>
          <w:rFonts w:eastAsia="SimSun"/>
          <w:szCs w:val="22"/>
          <w:lang w:eastAsia="fr-BE"/>
        </w:rPr>
      </w:pPr>
      <w:r w:rsidRPr="00140779">
        <w:rPr>
          <w:rFonts w:eastAsia="SimSun"/>
          <w:szCs w:val="22"/>
          <w:lang w:eastAsia="fr-BE"/>
        </w:rPr>
        <w:t xml:space="preserve">Pharmacotherapeutic group: Non-steroidal anti-inflammatory and antirheumatic drugs, NSAIDs, Coxibs. ATC code: M01AH01. </w:t>
      </w:r>
    </w:p>
    <w:p w:rsidR="00F05E2A" w:rsidRPr="00140779" w:rsidRDefault="00F05E2A" w:rsidP="00F05E2A">
      <w:pPr>
        <w:tabs>
          <w:tab w:val="clear" w:pos="567"/>
        </w:tabs>
        <w:autoSpaceDE w:val="0"/>
        <w:autoSpaceDN w:val="0"/>
        <w:adjustRightInd w:val="0"/>
        <w:spacing w:line="240" w:lineRule="auto"/>
        <w:jc w:val="both"/>
        <w:rPr>
          <w:rFonts w:eastAsia="SimSun"/>
          <w:szCs w:val="22"/>
          <w:lang w:eastAsia="fr-BE"/>
        </w:rPr>
      </w:pPr>
    </w:p>
    <w:p w:rsidR="00347B27" w:rsidRPr="00140779" w:rsidRDefault="00347B27" w:rsidP="00F05E2A">
      <w:pPr>
        <w:tabs>
          <w:tab w:val="clear" w:pos="567"/>
        </w:tabs>
        <w:autoSpaceDE w:val="0"/>
        <w:autoSpaceDN w:val="0"/>
        <w:adjustRightInd w:val="0"/>
        <w:spacing w:line="240" w:lineRule="auto"/>
        <w:jc w:val="both"/>
        <w:rPr>
          <w:rFonts w:eastAsia="SimSun"/>
          <w:szCs w:val="22"/>
          <w:u w:val="single"/>
          <w:lang w:eastAsia="fr-BE"/>
        </w:rPr>
      </w:pPr>
      <w:r w:rsidRPr="00140779">
        <w:rPr>
          <w:rFonts w:eastAsia="SimSun"/>
          <w:szCs w:val="22"/>
          <w:u w:val="single"/>
          <w:lang w:eastAsia="fr-BE"/>
        </w:rPr>
        <w:t>Mechanism of action</w:t>
      </w:r>
    </w:p>
    <w:p w:rsidR="00F05E2A" w:rsidRPr="00140779" w:rsidRDefault="00F05E2A" w:rsidP="00F05E2A">
      <w:pPr>
        <w:tabs>
          <w:tab w:val="clear" w:pos="567"/>
        </w:tabs>
        <w:autoSpaceDE w:val="0"/>
        <w:autoSpaceDN w:val="0"/>
        <w:adjustRightInd w:val="0"/>
        <w:spacing w:line="240" w:lineRule="auto"/>
        <w:jc w:val="both"/>
        <w:rPr>
          <w:rFonts w:eastAsia="SimSun"/>
          <w:szCs w:val="22"/>
          <w:lang w:eastAsia="fr-BE"/>
        </w:rPr>
      </w:pPr>
      <w:r w:rsidRPr="00140779">
        <w:rPr>
          <w:rFonts w:eastAsia="SimSun"/>
          <w:szCs w:val="22"/>
          <w:lang w:eastAsia="fr-BE"/>
        </w:rPr>
        <w:t xml:space="preserve">Celecoxib is an oral, selective, cyclooxygenase-2 (COX-2) inhibitor within the clinical dose range (200-400 mg daily). No statistically significant inhibition of COX-1 (assessed as </w:t>
      </w:r>
      <w:r w:rsidRPr="00140779">
        <w:rPr>
          <w:rFonts w:eastAsia="SimSun"/>
          <w:i/>
          <w:iCs/>
          <w:szCs w:val="22"/>
          <w:lang w:eastAsia="fr-BE"/>
        </w:rPr>
        <w:t xml:space="preserve">ex vivo </w:t>
      </w:r>
      <w:r w:rsidRPr="00140779">
        <w:rPr>
          <w:rFonts w:eastAsia="SimSun"/>
          <w:szCs w:val="22"/>
          <w:lang w:eastAsia="fr-BE"/>
        </w:rPr>
        <w:t>inhibition of thromboxane B2 [TxB2] formation) was observed in this dose range in healthy volunteers.</w:t>
      </w:r>
    </w:p>
    <w:p w:rsidR="00F05E2A" w:rsidRPr="00140779" w:rsidRDefault="00F05E2A" w:rsidP="00F05E2A">
      <w:pPr>
        <w:tabs>
          <w:tab w:val="clear" w:pos="567"/>
        </w:tabs>
        <w:autoSpaceDE w:val="0"/>
        <w:autoSpaceDN w:val="0"/>
        <w:adjustRightInd w:val="0"/>
        <w:spacing w:line="240" w:lineRule="auto"/>
        <w:jc w:val="both"/>
        <w:rPr>
          <w:rFonts w:eastAsia="SimSun"/>
          <w:szCs w:val="22"/>
          <w:lang w:eastAsia="fr-BE"/>
        </w:rPr>
      </w:pPr>
    </w:p>
    <w:p w:rsidR="00F05E2A" w:rsidRPr="00140779" w:rsidRDefault="00347B27" w:rsidP="00F05E2A">
      <w:pPr>
        <w:tabs>
          <w:tab w:val="clear" w:pos="567"/>
        </w:tabs>
        <w:autoSpaceDE w:val="0"/>
        <w:autoSpaceDN w:val="0"/>
        <w:adjustRightInd w:val="0"/>
        <w:spacing w:line="240" w:lineRule="auto"/>
        <w:jc w:val="both"/>
        <w:rPr>
          <w:rFonts w:eastAsia="SimSun"/>
          <w:szCs w:val="22"/>
          <w:u w:val="single"/>
          <w:lang w:eastAsia="fr-BE"/>
        </w:rPr>
      </w:pPr>
      <w:r w:rsidRPr="00140779">
        <w:rPr>
          <w:rFonts w:eastAsia="SimSun"/>
          <w:szCs w:val="22"/>
          <w:u w:val="single"/>
          <w:lang w:eastAsia="fr-BE"/>
        </w:rPr>
        <w:t>Pharmacodynamics effects</w:t>
      </w:r>
    </w:p>
    <w:p w:rsidR="00F05E2A" w:rsidRPr="00140779" w:rsidRDefault="00F05E2A" w:rsidP="00F05E2A">
      <w:pPr>
        <w:tabs>
          <w:tab w:val="clear" w:pos="567"/>
        </w:tabs>
        <w:autoSpaceDE w:val="0"/>
        <w:autoSpaceDN w:val="0"/>
        <w:adjustRightInd w:val="0"/>
        <w:spacing w:line="240" w:lineRule="auto"/>
        <w:jc w:val="both"/>
        <w:rPr>
          <w:rFonts w:eastAsia="SimSun"/>
          <w:szCs w:val="22"/>
          <w:lang w:eastAsia="fr-BE"/>
        </w:rPr>
      </w:pPr>
      <w:r w:rsidRPr="00140779">
        <w:rPr>
          <w:rFonts w:eastAsia="SimSun"/>
          <w:szCs w:val="22"/>
          <w:lang w:eastAsia="fr-BE"/>
        </w:rPr>
        <w:t>Cyclooxygenase is responsible for generation of prostaglandins. Two isoforms, COX-1 and COX-2, have been identified. COX-2 is the isoform of the enzyme that has been shown to be induced by pro-inflammatory stimuli and has been postulated to be primarily responsible for the synthesis of prostanoid mediators of pain, inflammation, and fever. COX-2 is also involved in ovulation, implantation and closure of the ductus arteriosus, regulation of renal function, and central nervous system functions (fever induction, pain perception and cognitive function). It may also play a role in ulcer healing. COX-2 has been identified in tissue around gastric ulcers in man but its relevance to ulcer healing has not been established.</w:t>
      </w:r>
    </w:p>
    <w:p w:rsidR="00F05E2A" w:rsidRPr="00140779" w:rsidRDefault="00F05E2A" w:rsidP="00F05E2A">
      <w:pPr>
        <w:tabs>
          <w:tab w:val="clear" w:pos="567"/>
        </w:tabs>
        <w:autoSpaceDE w:val="0"/>
        <w:autoSpaceDN w:val="0"/>
        <w:adjustRightInd w:val="0"/>
        <w:spacing w:line="240" w:lineRule="auto"/>
        <w:jc w:val="both"/>
        <w:rPr>
          <w:rFonts w:eastAsia="SimSun"/>
          <w:szCs w:val="22"/>
          <w:lang w:eastAsia="fr-BE"/>
        </w:rPr>
      </w:pPr>
    </w:p>
    <w:p w:rsidR="00F05E2A" w:rsidRPr="00140779" w:rsidRDefault="00F05E2A" w:rsidP="00F05E2A">
      <w:pPr>
        <w:tabs>
          <w:tab w:val="clear" w:pos="567"/>
        </w:tabs>
        <w:autoSpaceDE w:val="0"/>
        <w:autoSpaceDN w:val="0"/>
        <w:adjustRightInd w:val="0"/>
        <w:spacing w:line="240" w:lineRule="auto"/>
        <w:jc w:val="both"/>
        <w:rPr>
          <w:rFonts w:eastAsia="SimSun"/>
          <w:szCs w:val="22"/>
          <w:lang w:eastAsia="fr-BE"/>
        </w:rPr>
      </w:pPr>
      <w:r w:rsidRPr="00140779">
        <w:rPr>
          <w:rFonts w:eastAsia="SimSun"/>
          <w:szCs w:val="22"/>
          <w:lang w:eastAsia="fr-BE"/>
        </w:rPr>
        <w:t>The difference in antiplatelet activity between some COX 1 inhibiting NSAIDs and COX 2 selective inhibitors may be of clinical significance in patients at risk of thrombo-embolic reactions. COX-2 selective inhibitors reduce the formation of systemic (and therefore possibly endothelial) prostacyclin without affecting platelet thromboxane.</w:t>
      </w:r>
    </w:p>
    <w:p w:rsidR="00F05E2A" w:rsidRPr="00140779" w:rsidRDefault="00F05E2A" w:rsidP="00F05E2A">
      <w:pPr>
        <w:tabs>
          <w:tab w:val="clear" w:pos="567"/>
        </w:tabs>
        <w:autoSpaceDE w:val="0"/>
        <w:autoSpaceDN w:val="0"/>
        <w:adjustRightInd w:val="0"/>
        <w:spacing w:line="240" w:lineRule="auto"/>
        <w:jc w:val="both"/>
        <w:rPr>
          <w:rFonts w:eastAsia="SimSun"/>
          <w:szCs w:val="22"/>
          <w:lang w:eastAsia="fr-BE"/>
        </w:rPr>
      </w:pPr>
    </w:p>
    <w:p w:rsidR="00F05E2A" w:rsidRPr="00140779" w:rsidRDefault="00F05E2A" w:rsidP="00F05E2A">
      <w:pPr>
        <w:tabs>
          <w:tab w:val="clear" w:pos="567"/>
        </w:tabs>
        <w:autoSpaceDE w:val="0"/>
        <w:autoSpaceDN w:val="0"/>
        <w:adjustRightInd w:val="0"/>
        <w:spacing w:line="240" w:lineRule="auto"/>
        <w:jc w:val="both"/>
        <w:rPr>
          <w:rFonts w:eastAsia="SimSun"/>
          <w:szCs w:val="22"/>
          <w:lang w:eastAsia="fr-BE"/>
        </w:rPr>
      </w:pPr>
      <w:r w:rsidRPr="00140779">
        <w:rPr>
          <w:rFonts w:eastAsia="SimSun"/>
          <w:szCs w:val="22"/>
          <w:lang w:eastAsia="fr-BE"/>
        </w:rPr>
        <w:t>Celecoxib is a diaryl-substituted pyrazole, chemically similar to other non-arylamine sulfonamides (e.g. thiazides, furosemide) but differs from arylamine sulfonamides (e.g. sulfamethoxizole and other sulfonamide antibiotics).</w:t>
      </w:r>
    </w:p>
    <w:p w:rsidR="00F05E2A" w:rsidRPr="00140779" w:rsidRDefault="00F05E2A" w:rsidP="00F05E2A">
      <w:pPr>
        <w:tabs>
          <w:tab w:val="clear" w:pos="567"/>
        </w:tabs>
        <w:autoSpaceDE w:val="0"/>
        <w:autoSpaceDN w:val="0"/>
        <w:adjustRightInd w:val="0"/>
        <w:spacing w:line="240" w:lineRule="auto"/>
        <w:jc w:val="both"/>
        <w:rPr>
          <w:rFonts w:eastAsia="SimSun"/>
          <w:szCs w:val="22"/>
          <w:lang w:eastAsia="fr-BE"/>
        </w:rPr>
      </w:pPr>
    </w:p>
    <w:p w:rsidR="00F05E2A" w:rsidRPr="00140779" w:rsidRDefault="00F05E2A" w:rsidP="00F05E2A">
      <w:pPr>
        <w:tabs>
          <w:tab w:val="clear" w:pos="567"/>
        </w:tabs>
        <w:autoSpaceDE w:val="0"/>
        <w:autoSpaceDN w:val="0"/>
        <w:adjustRightInd w:val="0"/>
        <w:spacing w:line="240" w:lineRule="auto"/>
        <w:jc w:val="both"/>
        <w:rPr>
          <w:rFonts w:eastAsia="SimSun"/>
          <w:szCs w:val="22"/>
          <w:lang w:eastAsia="fr-BE"/>
        </w:rPr>
      </w:pPr>
      <w:r w:rsidRPr="00140779">
        <w:rPr>
          <w:rFonts w:eastAsia="SimSun"/>
          <w:szCs w:val="22"/>
          <w:lang w:eastAsia="fr-BE"/>
        </w:rPr>
        <w:t>A dose dependent effect on TxB2 formation has been observed after high doses of celecoxib. However, in healthy subjects, in small multiple dose studies with 600 mg BID (three times the highest recommended dose) celecoxib had no effect on platelet aggregation and bleeding time compared to placebo.</w:t>
      </w:r>
    </w:p>
    <w:p w:rsidR="00F05E2A" w:rsidRPr="00140779" w:rsidRDefault="00F05E2A" w:rsidP="00F05E2A">
      <w:pPr>
        <w:tabs>
          <w:tab w:val="clear" w:pos="567"/>
        </w:tabs>
        <w:autoSpaceDE w:val="0"/>
        <w:autoSpaceDN w:val="0"/>
        <w:adjustRightInd w:val="0"/>
        <w:spacing w:line="240" w:lineRule="auto"/>
        <w:jc w:val="both"/>
        <w:rPr>
          <w:rFonts w:eastAsia="SimSun"/>
          <w:szCs w:val="22"/>
          <w:lang w:eastAsia="fr-BE"/>
        </w:rPr>
      </w:pPr>
    </w:p>
    <w:p w:rsidR="00347B27" w:rsidRPr="00140779" w:rsidRDefault="00347B27" w:rsidP="00F05E2A">
      <w:pPr>
        <w:tabs>
          <w:tab w:val="clear" w:pos="567"/>
        </w:tabs>
        <w:autoSpaceDE w:val="0"/>
        <w:autoSpaceDN w:val="0"/>
        <w:adjustRightInd w:val="0"/>
        <w:spacing w:line="240" w:lineRule="auto"/>
        <w:jc w:val="both"/>
        <w:rPr>
          <w:rFonts w:eastAsia="SimSun"/>
          <w:szCs w:val="22"/>
          <w:u w:val="single"/>
          <w:lang w:eastAsia="fr-BE"/>
        </w:rPr>
      </w:pPr>
      <w:r w:rsidRPr="00140779">
        <w:rPr>
          <w:rFonts w:eastAsia="SimSun"/>
          <w:szCs w:val="22"/>
          <w:u w:val="single"/>
          <w:lang w:eastAsia="fr-BE"/>
        </w:rPr>
        <w:t>Clinical efficacy and safety</w:t>
      </w:r>
    </w:p>
    <w:p w:rsidR="009864FB" w:rsidRPr="00140779" w:rsidRDefault="00F05E2A" w:rsidP="00F05E2A">
      <w:pPr>
        <w:tabs>
          <w:tab w:val="clear" w:pos="567"/>
        </w:tabs>
        <w:autoSpaceDE w:val="0"/>
        <w:autoSpaceDN w:val="0"/>
        <w:adjustRightInd w:val="0"/>
        <w:spacing w:line="240" w:lineRule="auto"/>
        <w:jc w:val="both"/>
        <w:rPr>
          <w:rFonts w:eastAsia="SimSun"/>
          <w:szCs w:val="22"/>
          <w:lang w:eastAsia="fr-BE"/>
        </w:rPr>
      </w:pPr>
      <w:r w:rsidRPr="00140779">
        <w:rPr>
          <w:rFonts w:eastAsia="SimSun"/>
          <w:szCs w:val="22"/>
          <w:lang w:eastAsia="fr-BE"/>
        </w:rPr>
        <w:t xml:space="preserve">Several clinical studies have been performed confirming efficacy and safety in osteoarthritis, rheumatoid arthritis and ankylosing spondylitis. Celecoxib was evaluated for the treatment of the inflammation and pain of OA of the knee and hip in approximately 4200 patients in placebo and active controlled trials of up to 12 weeks duration. It was also evaluated for treatment of the inflammation and pain of RA in approximately 2100 patients in placebo and active controlled trials of up to 24 weeks duration. Celecoxib at daily doses of 200 mg - 400 mg provided pain relief within 24 hours of dosing. Celecoxib was evaluated for the symptomatic treatment of ankylosing spondylitis in 896 patients in placebo and active controlled trials of up to 12 weeks duration. </w:t>
      </w:r>
    </w:p>
    <w:p w:rsidR="009864FB" w:rsidRPr="00140779" w:rsidRDefault="009864FB" w:rsidP="00F05E2A">
      <w:pPr>
        <w:tabs>
          <w:tab w:val="clear" w:pos="567"/>
        </w:tabs>
        <w:autoSpaceDE w:val="0"/>
        <w:autoSpaceDN w:val="0"/>
        <w:adjustRightInd w:val="0"/>
        <w:spacing w:line="240" w:lineRule="auto"/>
        <w:jc w:val="both"/>
        <w:rPr>
          <w:rFonts w:eastAsia="SimSun"/>
          <w:szCs w:val="22"/>
          <w:lang w:eastAsia="fr-BE"/>
        </w:rPr>
      </w:pPr>
    </w:p>
    <w:p w:rsidR="00F05E2A" w:rsidRPr="00140779" w:rsidRDefault="00F05E2A" w:rsidP="00F05E2A">
      <w:pPr>
        <w:tabs>
          <w:tab w:val="clear" w:pos="567"/>
        </w:tabs>
        <w:autoSpaceDE w:val="0"/>
        <w:autoSpaceDN w:val="0"/>
        <w:adjustRightInd w:val="0"/>
        <w:spacing w:line="240" w:lineRule="auto"/>
        <w:jc w:val="both"/>
        <w:rPr>
          <w:rFonts w:eastAsia="SimSun"/>
          <w:szCs w:val="22"/>
          <w:lang w:eastAsia="fr-BE"/>
        </w:rPr>
      </w:pPr>
      <w:r w:rsidRPr="00140779">
        <w:rPr>
          <w:rFonts w:eastAsia="SimSun"/>
          <w:szCs w:val="22"/>
          <w:lang w:eastAsia="fr-BE"/>
        </w:rPr>
        <w:t>Celecoxib at doses of 100mg BID, 200mg QD, 200mg BID and 400mg QD in these studies demonstrated significant improvement in pain, global disease activity and function in ankylosing spondylitis.</w:t>
      </w:r>
    </w:p>
    <w:p w:rsidR="00F05E2A" w:rsidRPr="00140779" w:rsidRDefault="00F05E2A" w:rsidP="00F05E2A">
      <w:pPr>
        <w:tabs>
          <w:tab w:val="clear" w:pos="567"/>
        </w:tabs>
        <w:autoSpaceDE w:val="0"/>
        <w:autoSpaceDN w:val="0"/>
        <w:adjustRightInd w:val="0"/>
        <w:spacing w:line="240" w:lineRule="auto"/>
        <w:jc w:val="both"/>
        <w:rPr>
          <w:rFonts w:eastAsia="SimSun"/>
          <w:szCs w:val="22"/>
          <w:lang w:eastAsia="fr-BE"/>
        </w:rPr>
      </w:pPr>
    </w:p>
    <w:p w:rsidR="00F05E2A" w:rsidRPr="00140779" w:rsidRDefault="00F05E2A" w:rsidP="00F05E2A">
      <w:pPr>
        <w:tabs>
          <w:tab w:val="clear" w:pos="567"/>
        </w:tabs>
        <w:autoSpaceDE w:val="0"/>
        <w:autoSpaceDN w:val="0"/>
        <w:adjustRightInd w:val="0"/>
        <w:spacing w:line="240" w:lineRule="auto"/>
        <w:jc w:val="both"/>
        <w:rPr>
          <w:rFonts w:eastAsia="SimSun"/>
          <w:szCs w:val="22"/>
          <w:lang w:eastAsia="fr-BE"/>
        </w:rPr>
      </w:pPr>
      <w:r w:rsidRPr="00140779">
        <w:rPr>
          <w:rFonts w:eastAsia="SimSun"/>
          <w:szCs w:val="22"/>
          <w:lang w:eastAsia="fr-BE"/>
        </w:rPr>
        <w:t>Five randomised double-blind controlled studies have been conducted including scheduled upper gastrointestinal endoscopy in approximately 4500 patients free from initial ulceration (celecoxib doses from 50 mg - 400 mg BID). In twelve week endoscopy studies celecoxib (100 - 800 mg per day) was associated with a significantly lower risk of gastroduodenal ulcers compared with naproxen (1000 mg per day) and ibuprofen (2400 mg per day). The data were inconsistent in comparison with diclofenac (150 mg per day). In two of the 12-week studies the percentage of patients with endoscopic gastroduodenal ulceration were not significantly different between placebo and celecoxib 200 mg BID and 400 mg BID.</w:t>
      </w:r>
    </w:p>
    <w:p w:rsidR="00F05E2A" w:rsidRPr="00140779" w:rsidRDefault="00F05E2A" w:rsidP="00F05E2A">
      <w:pPr>
        <w:tabs>
          <w:tab w:val="clear" w:pos="567"/>
        </w:tabs>
        <w:autoSpaceDE w:val="0"/>
        <w:autoSpaceDN w:val="0"/>
        <w:adjustRightInd w:val="0"/>
        <w:spacing w:line="240" w:lineRule="auto"/>
        <w:jc w:val="both"/>
        <w:rPr>
          <w:rFonts w:eastAsia="SimSun"/>
          <w:szCs w:val="22"/>
          <w:lang w:eastAsia="fr-BE"/>
        </w:rPr>
      </w:pPr>
    </w:p>
    <w:p w:rsidR="009864FB" w:rsidRPr="00140779" w:rsidRDefault="00F05E2A" w:rsidP="00F05E2A">
      <w:pPr>
        <w:tabs>
          <w:tab w:val="clear" w:pos="567"/>
        </w:tabs>
        <w:autoSpaceDE w:val="0"/>
        <w:autoSpaceDN w:val="0"/>
        <w:adjustRightInd w:val="0"/>
        <w:spacing w:line="240" w:lineRule="auto"/>
        <w:jc w:val="both"/>
        <w:rPr>
          <w:rFonts w:eastAsia="SimSun"/>
          <w:szCs w:val="22"/>
          <w:lang w:eastAsia="fr-BE"/>
        </w:rPr>
      </w:pPr>
      <w:r w:rsidRPr="00140779">
        <w:rPr>
          <w:rFonts w:eastAsia="SimSun"/>
          <w:szCs w:val="22"/>
          <w:lang w:eastAsia="fr-BE"/>
        </w:rPr>
        <w:t xml:space="preserve">In a prospective long-term safety outcome study (6 to </w:t>
      </w:r>
      <w:r w:rsidR="002C23CE" w:rsidRPr="00180EC2">
        <w:rPr>
          <w:rFonts w:eastAsia="SimSun"/>
          <w:szCs w:val="22"/>
          <w:lang w:eastAsia="fr-BE"/>
        </w:rPr>
        <w:t>15-month</w:t>
      </w:r>
      <w:r w:rsidRPr="00140779">
        <w:rPr>
          <w:rFonts w:eastAsia="SimSun"/>
          <w:szCs w:val="22"/>
          <w:lang w:eastAsia="fr-BE"/>
        </w:rPr>
        <w:t xml:space="preserve"> duration, CLASS study), 5,800 OA and 2, 200 RA patients received celecoxib 400 mg BID (4-fold and 2-fold the recommended OA and RA doses, respectively), ibuprofen 800 mg TID or diclofenac 75 mg BID (both at therapeutic doses). Twenty-two percent of enrolled patients took concomitant low-dose acetylsalicylic acid (</w:t>
      </w:r>
      <w:r w:rsidRPr="00140779">
        <w:rPr>
          <w:rFonts w:ascii="T5" w:eastAsia="T5" w:cs="T5"/>
          <w:szCs w:val="22"/>
          <w:lang w:eastAsia="fr-BE"/>
        </w:rPr>
        <w:t>≤</w:t>
      </w:r>
      <w:r w:rsidRPr="00140779">
        <w:rPr>
          <w:rFonts w:eastAsia="SimSun"/>
          <w:szCs w:val="22"/>
          <w:lang w:eastAsia="fr-BE"/>
        </w:rPr>
        <w:t>325 mg/day), primarily for</w:t>
      </w:r>
      <w:r w:rsidR="00BA0F47" w:rsidRPr="00140779">
        <w:rPr>
          <w:rFonts w:eastAsia="SimSun"/>
          <w:szCs w:val="22"/>
          <w:lang w:eastAsia="fr-BE"/>
        </w:rPr>
        <w:t xml:space="preserve"> </w:t>
      </w:r>
      <w:r w:rsidRPr="00140779">
        <w:rPr>
          <w:rFonts w:eastAsia="SimSun"/>
          <w:szCs w:val="22"/>
          <w:lang w:eastAsia="fr-BE"/>
        </w:rPr>
        <w:t xml:space="preserve">cardiovascular prophylaxis. </w:t>
      </w:r>
    </w:p>
    <w:p w:rsidR="009864FB" w:rsidRPr="00140779" w:rsidRDefault="009864FB" w:rsidP="00F05E2A">
      <w:pPr>
        <w:tabs>
          <w:tab w:val="clear" w:pos="567"/>
        </w:tabs>
        <w:autoSpaceDE w:val="0"/>
        <w:autoSpaceDN w:val="0"/>
        <w:adjustRightInd w:val="0"/>
        <w:spacing w:line="240" w:lineRule="auto"/>
        <w:jc w:val="both"/>
        <w:rPr>
          <w:rFonts w:eastAsia="SimSun"/>
          <w:szCs w:val="22"/>
          <w:lang w:eastAsia="fr-BE"/>
        </w:rPr>
      </w:pPr>
    </w:p>
    <w:p w:rsidR="009864FB" w:rsidRPr="00140779" w:rsidRDefault="00F05E2A" w:rsidP="00F05E2A">
      <w:pPr>
        <w:tabs>
          <w:tab w:val="clear" w:pos="567"/>
        </w:tabs>
        <w:autoSpaceDE w:val="0"/>
        <w:autoSpaceDN w:val="0"/>
        <w:adjustRightInd w:val="0"/>
        <w:spacing w:line="240" w:lineRule="auto"/>
        <w:jc w:val="both"/>
        <w:rPr>
          <w:rFonts w:eastAsia="SimSun"/>
          <w:szCs w:val="22"/>
          <w:lang w:eastAsia="fr-BE"/>
        </w:rPr>
      </w:pPr>
      <w:r w:rsidRPr="00140779">
        <w:rPr>
          <w:rFonts w:eastAsia="SimSun"/>
          <w:szCs w:val="22"/>
          <w:lang w:eastAsia="fr-BE"/>
        </w:rPr>
        <w:t xml:space="preserve">For the primary endpoint complicated ulcers (defined as gastrointestinal bleeding, perforation or obstruction) celecoxib was not significantly different than either ibuprofen or diclofenac individually. Also for the combined NSAID group there was no statistically significant difference for complicated ulcers (relative risk 0.77, 95 % CI 0.41-1.46, based on entire study duration). </w:t>
      </w:r>
    </w:p>
    <w:p w:rsidR="009864FB" w:rsidRPr="00140779" w:rsidRDefault="009864FB" w:rsidP="00F05E2A">
      <w:pPr>
        <w:tabs>
          <w:tab w:val="clear" w:pos="567"/>
        </w:tabs>
        <w:autoSpaceDE w:val="0"/>
        <w:autoSpaceDN w:val="0"/>
        <w:adjustRightInd w:val="0"/>
        <w:spacing w:line="240" w:lineRule="auto"/>
        <w:jc w:val="both"/>
        <w:rPr>
          <w:rFonts w:eastAsia="SimSun"/>
          <w:szCs w:val="22"/>
          <w:lang w:eastAsia="fr-BE"/>
        </w:rPr>
      </w:pPr>
    </w:p>
    <w:p w:rsidR="00F05E2A" w:rsidRPr="00140779" w:rsidRDefault="00F05E2A" w:rsidP="00F05E2A">
      <w:pPr>
        <w:tabs>
          <w:tab w:val="clear" w:pos="567"/>
        </w:tabs>
        <w:autoSpaceDE w:val="0"/>
        <w:autoSpaceDN w:val="0"/>
        <w:adjustRightInd w:val="0"/>
        <w:spacing w:line="240" w:lineRule="auto"/>
        <w:jc w:val="both"/>
        <w:rPr>
          <w:rFonts w:eastAsia="SimSun"/>
          <w:szCs w:val="22"/>
          <w:lang w:eastAsia="fr-BE"/>
        </w:rPr>
      </w:pPr>
      <w:r w:rsidRPr="00140779">
        <w:rPr>
          <w:rFonts w:eastAsia="SimSun"/>
          <w:szCs w:val="22"/>
          <w:lang w:eastAsia="fr-BE"/>
        </w:rPr>
        <w:t>For the</w:t>
      </w:r>
      <w:r w:rsidR="009864FB" w:rsidRPr="00140779">
        <w:rPr>
          <w:rFonts w:eastAsia="SimSun"/>
          <w:szCs w:val="22"/>
          <w:lang w:eastAsia="fr-BE"/>
        </w:rPr>
        <w:t xml:space="preserve"> </w:t>
      </w:r>
      <w:r w:rsidRPr="00140779">
        <w:rPr>
          <w:rFonts w:eastAsia="SimSun"/>
          <w:szCs w:val="22"/>
          <w:lang w:eastAsia="fr-BE"/>
        </w:rPr>
        <w:t>combined endpoint, complicated and symptomatic ulcers, the incidence was significantly lower in the celecoxib group compared to the NSAID group, relative risk 0.66, 95% CI 0.45-0.97 but not between celecoxib and diclofenac. Those patients on celecoxib and concomitant low-dose acetylsalicylic acid experienced 4 fold higher rates of complicated ulcers as compared to those on celecoxib alone. The incidence of clinically significant decreases in haemoglobin (&gt;2 g/dL), confirmed by repeat testing, was significantly lower in patients on celecoxib compared to the NSAID group, relative risk 0.29, 95% CI 0.17- 0.48. The significantly lower incidence of this event with celecoxib was maintained with or without acetylsalicylic acid use.</w:t>
      </w:r>
    </w:p>
    <w:p w:rsidR="00F05E2A" w:rsidRPr="00140779" w:rsidRDefault="00F05E2A" w:rsidP="00F05E2A">
      <w:pPr>
        <w:tabs>
          <w:tab w:val="clear" w:pos="567"/>
        </w:tabs>
        <w:autoSpaceDE w:val="0"/>
        <w:autoSpaceDN w:val="0"/>
        <w:adjustRightInd w:val="0"/>
        <w:spacing w:line="240" w:lineRule="auto"/>
        <w:jc w:val="both"/>
        <w:rPr>
          <w:rFonts w:eastAsia="SimSun"/>
          <w:szCs w:val="22"/>
          <w:lang w:eastAsia="fr-BE"/>
        </w:rPr>
      </w:pPr>
    </w:p>
    <w:p w:rsidR="00F05E2A" w:rsidRPr="00140779" w:rsidRDefault="00F05E2A" w:rsidP="00F05E2A">
      <w:pPr>
        <w:tabs>
          <w:tab w:val="clear" w:pos="567"/>
        </w:tabs>
        <w:autoSpaceDE w:val="0"/>
        <w:autoSpaceDN w:val="0"/>
        <w:adjustRightInd w:val="0"/>
        <w:spacing w:line="240" w:lineRule="auto"/>
        <w:jc w:val="both"/>
        <w:rPr>
          <w:rFonts w:eastAsia="SimSun"/>
          <w:szCs w:val="22"/>
          <w:lang w:eastAsia="fr-BE"/>
        </w:rPr>
      </w:pPr>
      <w:r w:rsidRPr="00140779">
        <w:rPr>
          <w:rFonts w:eastAsia="SimSun"/>
          <w:szCs w:val="22"/>
          <w:lang w:eastAsia="fr-BE"/>
        </w:rPr>
        <w:t xml:space="preserve">In a prospective randomised 24 week safety study in patients who were aged </w:t>
      </w:r>
      <w:r w:rsidRPr="00140779">
        <w:rPr>
          <w:rFonts w:ascii="T5" w:eastAsia="T5" w:cs="T5"/>
          <w:szCs w:val="22"/>
          <w:lang w:eastAsia="fr-BE"/>
        </w:rPr>
        <w:t>≥</w:t>
      </w:r>
      <w:r w:rsidRPr="00140779">
        <w:rPr>
          <w:rFonts w:eastAsia="SimSun"/>
          <w:szCs w:val="22"/>
          <w:lang w:eastAsia="fr-BE"/>
        </w:rPr>
        <w:t>60 years or had a history of gastroduodenal ulcers (users of ASA excluded), the percentages of patients with decreases in haemoglobin (</w:t>
      </w:r>
      <w:r w:rsidRPr="00140779">
        <w:rPr>
          <w:rFonts w:ascii="T5" w:eastAsia="T5" w:cs="T5"/>
          <w:szCs w:val="22"/>
          <w:lang w:eastAsia="fr-BE"/>
        </w:rPr>
        <w:t>≥</w:t>
      </w:r>
      <w:r w:rsidRPr="00140779">
        <w:rPr>
          <w:rFonts w:eastAsia="SimSun"/>
          <w:szCs w:val="22"/>
          <w:lang w:eastAsia="fr-BE"/>
        </w:rPr>
        <w:t>2 g/dL) and/or haematocrit (</w:t>
      </w:r>
      <w:r w:rsidRPr="00140779">
        <w:rPr>
          <w:rFonts w:ascii="T5" w:eastAsia="T5" w:cs="T5"/>
          <w:szCs w:val="22"/>
          <w:lang w:eastAsia="fr-BE"/>
        </w:rPr>
        <w:t>≥</w:t>
      </w:r>
      <w:r w:rsidRPr="00140779">
        <w:rPr>
          <w:rFonts w:eastAsia="SimSun"/>
          <w:szCs w:val="22"/>
          <w:lang w:eastAsia="fr-BE"/>
        </w:rPr>
        <w:t>10%) of defined or presumed GI origin were lower in patients treated with</w:t>
      </w:r>
    </w:p>
    <w:p w:rsidR="00F05E2A" w:rsidRPr="00140779" w:rsidRDefault="00F05E2A" w:rsidP="00F05E2A">
      <w:pPr>
        <w:tabs>
          <w:tab w:val="clear" w:pos="567"/>
        </w:tabs>
        <w:autoSpaceDE w:val="0"/>
        <w:autoSpaceDN w:val="0"/>
        <w:adjustRightInd w:val="0"/>
        <w:spacing w:line="240" w:lineRule="auto"/>
        <w:jc w:val="both"/>
        <w:rPr>
          <w:rFonts w:eastAsia="SimSun"/>
          <w:szCs w:val="22"/>
          <w:lang w:eastAsia="fr-BE"/>
        </w:rPr>
      </w:pPr>
      <w:r w:rsidRPr="00140779">
        <w:rPr>
          <w:rFonts w:eastAsia="SimSun"/>
          <w:szCs w:val="22"/>
          <w:lang w:eastAsia="fr-BE"/>
        </w:rPr>
        <w:t>celecoxib 200 mg twice daily (N=2238) compared to patients treated with diclofenac SR 75 mg twice daily plus omeprazole 20 mg once daily (N=2246) (0.2% vs. 1.1% for defined GI origin, p = 0.004; 0.4% vs. 2.4% for presumed GI origin, p = 0.0001). The rates of clinically manifest GI complications such as perforation, obstruction or haemorrhage were very low with no differences between the treatment groups (4-5</w:t>
      </w:r>
    </w:p>
    <w:p w:rsidR="00F05E2A" w:rsidRPr="00140779" w:rsidRDefault="00F05E2A" w:rsidP="00F05E2A">
      <w:pPr>
        <w:tabs>
          <w:tab w:val="clear" w:pos="567"/>
        </w:tabs>
        <w:autoSpaceDE w:val="0"/>
        <w:autoSpaceDN w:val="0"/>
        <w:adjustRightInd w:val="0"/>
        <w:spacing w:line="240" w:lineRule="auto"/>
        <w:jc w:val="both"/>
        <w:rPr>
          <w:rFonts w:eastAsia="SimSun"/>
          <w:szCs w:val="22"/>
          <w:lang w:eastAsia="fr-BE"/>
        </w:rPr>
      </w:pPr>
      <w:r w:rsidRPr="00140779">
        <w:rPr>
          <w:rFonts w:eastAsia="SimSun"/>
          <w:szCs w:val="22"/>
          <w:lang w:eastAsia="fr-BE"/>
        </w:rPr>
        <w:t>per group).</w:t>
      </w:r>
    </w:p>
    <w:p w:rsidR="00F05E2A" w:rsidRPr="00140779" w:rsidRDefault="00F05E2A" w:rsidP="00F05E2A">
      <w:pPr>
        <w:tabs>
          <w:tab w:val="clear" w:pos="567"/>
        </w:tabs>
        <w:autoSpaceDE w:val="0"/>
        <w:autoSpaceDN w:val="0"/>
        <w:adjustRightInd w:val="0"/>
        <w:spacing w:line="240" w:lineRule="auto"/>
        <w:rPr>
          <w:rFonts w:eastAsia="SimSun"/>
          <w:szCs w:val="22"/>
          <w:lang w:eastAsia="fr-BE"/>
        </w:rPr>
      </w:pPr>
    </w:p>
    <w:p w:rsidR="00F05E2A" w:rsidRPr="00140779" w:rsidRDefault="00F05E2A" w:rsidP="00F05E2A">
      <w:pPr>
        <w:tabs>
          <w:tab w:val="clear" w:pos="567"/>
        </w:tabs>
        <w:autoSpaceDE w:val="0"/>
        <w:autoSpaceDN w:val="0"/>
        <w:adjustRightInd w:val="0"/>
        <w:spacing w:line="240" w:lineRule="auto"/>
        <w:rPr>
          <w:rFonts w:eastAsia="SimSun"/>
          <w:b/>
          <w:bCs/>
          <w:sz w:val="24"/>
          <w:szCs w:val="24"/>
          <w:lang w:eastAsia="fr-BE"/>
        </w:rPr>
      </w:pPr>
      <w:r w:rsidRPr="00140779">
        <w:rPr>
          <w:rFonts w:eastAsia="SimSun"/>
          <w:b/>
          <w:bCs/>
          <w:sz w:val="24"/>
          <w:szCs w:val="24"/>
          <w:lang w:eastAsia="fr-BE"/>
        </w:rPr>
        <w:t>Cardiovascular Safety – Long-Term Studies Involving Subjects With</w:t>
      </w:r>
    </w:p>
    <w:p w:rsidR="00F05E2A" w:rsidRPr="00140779" w:rsidRDefault="00F05E2A" w:rsidP="00F05E2A">
      <w:pPr>
        <w:tabs>
          <w:tab w:val="clear" w:pos="567"/>
        </w:tabs>
        <w:autoSpaceDE w:val="0"/>
        <w:autoSpaceDN w:val="0"/>
        <w:adjustRightInd w:val="0"/>
        <w:spacing w:line="240" w:lineRule="auto"/>
        <w:rPr>
          <w:rFonts w:eastAsia="SimSun"/>
          <w:b/>
          <w:bCs/>
          <w:sz w:val="24"/>
          <w:szCs w:val="24"/>
          <w:lang w:eastAsia="fr-BE"/>
        </w:rPr>
      </w:pPr>
      <w:r w:rsidRPr="00140779">
        <w:rPr>
          <w:rFonts w:eastAsia="SimSun"/>
          <w:b/>
          <w:bCs/>
          <w:sz w:val="24"/>
          <w:szCs w:val="24"/>
          <w:lang w:eastAsia="fr-BE"/>
        </w:rPr>
        <w:t>Sporadic Adenomatous Polyps</w:t>
      </w:r>
    </w:p>
    <w:p w:rsidR="00F05E2A" w:rsidRPr="00140779" w:rsidRDefault="00F05E2A" w:rsidP="004B24FF">
      <w:pPr>
        <w:tabs>
          <w:tab w:val="clear" w:pos="567"/>
        </w:tabs>
        <w:autoSpaceDE w:val="0"/>
        <w:autoSpaceDN w:val="0"/>
        <w:adjustRightInd w:val="0"/>
        <w:spacing w:line="240" w:lineRule="auto"/>
        <w:jc w:val="both"/>
        <w:rPr>
          <w:rFonts w:eastAsia="SimSun"/>
          <w:sz w:val="24"/>
          <w:szCs w:val="24"/>
          <w:lang w:eastAsia="fr-BE"/>
        </w:rPr>
      </w:pPr>
      <w:r w:rsidRPr="00140779">
        <w:rPr>
          <w:rFonts w:eastAsia="SimSun"/>
          <w:sz w:val="24"/>
          <w:szCs w:val="24"/>
          <w:lang w:eastAsia="fr-BE"/>
        </w:rPr>
        <w:lastRenderedPageBreak/>
        <w:t>Two studies involving subjects with sporadic adenomatous polyps were conducted with celecoxib i.e., the APC trial (Adenoma Prevention with Celecoxib) and the PreSAP trial (Prevention of Spontaneous Adenomatous Polyps). In the APC trial, there was a dose-related increase in the composite endpoint of cardiovascular death, myocardial infarction, or stroke (adjudicated) with celecoxib compared to placebo over 3 years of treatment. The PreSAP trial did not demonstrate a statistically significant increased risk for the same composite endpoint.</w:t>
      </w:r>
    </w:p>
    <w:p w:rsidR="00F05E2A" w:rsidRPr="00140779" w:rsidRDefault="00F05E2A" w:rsidP="004B24FF">
      <w:pPr>
        <w:tabs>
          <w:tab w:val="clear" w:pos="567"/>
        </w:tabs>
        <w:autoSpaceDE w:val="0"/>
        <w:autoSpaceDN w:val="0"/>
        <w:adjustRightInd w:val="0"/>
        <w:spacing w:line="240" w:lineRule="auto"/>
        <w:jc w:val="both"/>
        <w:rPr>
          <w:rFonts w:eastAsia="SimSun"/>
          <w:sz w:val="24"/>
          <w:szCs w:val="24"/>
          <w:lang w:eastAsia="fr-BE"/>
        </w:rPr>
      </w:pPr>
    </w:p>
    <w:p w:rsidR="00F05E2A" w:rsidRPr="00140779" w:rsidRDefault="00F05E2A" w:rsidP="004B24FF">
      <w:pPr>
        <w:tabs>
          <w:tab w:val="clear" w:pos="567"/>
        </w:tabs>
        <w:autoSpaceDE w:val="0"/>
        <w:autoSpaceDN w:val="0"/>
        <w:adjustRightInd w:val="0"/>
        <w:spacing w:line="240" w:lineRule="auto"/>
        <w:jc w:val="both"/>
        <w:rPr>
          <w:rFonts w:eastAsia="SimSun"/>
          <w:szCs w:val="22"/>
          <w:lang w:eastAsia="fr-BE"/>
        </w:rPr>
      </w:pPr>
      <w:r w:rsidRPr="00140779">
        <w:rPr>
          <w:rFonts w:eastAsia="SimSun"/>
          <w:szCs w:val="22"/>
          <w:lang w:eastAsia="fr-BE"/>
        </w:rPr>
        <w:t>In the APC trial, the relative risks compared to placebo for a composite endpoint (adjudicated) of cardiovascular death, myocardial infarction, or stroke were 3.4 (95% CI 1.4 - 8.5) with celecoxib 400 mg twice daily and 2.8 (95% CI 1.1 - 7.2) with celecoxib 200 mg twice daily. Cumulative rates for this composite endpoint over 3 years were 3.0% (20/671 subjects) and 2.5% (17/685 subjects) respectively, compared to 0.9% (6/679 subjects) for placebo. The increases for both celecoxib dose groups versus placebo were mainly due to an increased incidence of myocardial infarction.</w:t>
      </w:r>
    </w:p>
    <w:p w:rsidR="004B24FF" w:rsidRPr="00140779" w:rsidRDefault="004B24FF" w:rsidP="004B24FF">
      <w:pPr>
        <w:tabs>
          <w:tab w:val="clear" w:pos="567"/>
        </w:tabs>
        <w:autoSpaceDE w:val="0"/>
        <w:autoSpaceDN w:val="0"/>
        <w:adjustRightInd w:val="0"/>
        <w:spacing w:line="240" w:lineRule="auto"/>
        <w:jc w:val="both"/>
        <w:rPr>
          <w:rFonts w:eastAsia="SimSun"/>
          <w:szCs w:val="22"/>
          <w:lang w:eastAsia="fr-BE"/>
        </w:rPr>
      </w:pPr>
    </w:p>
    <w:p w:rsidR="00F05E2A" w:rsidRPr="00140779" w:rsidRDefault="00F05E2A" w:rsidP="004B24FF">
      <w:pPr>
        <w:tabs>
          <w:tab w:val="clear" w:pos="567"/>
        </w:tabs>
        <w:autoSpaceDE w:val="0"/>
        <w:autoSpaceDN w:val="0"/>
        <w:adjustRightInd w:val="0"/>
        <w:spacing w:line="240" w:lineRule="auto"/>
        <w:jc w:val="both"/>
        <w:rPr>
          <w:rFonts w:eastAsia="SimSun"/>
          <w:sz w:val="24"/>
          <w:szCs w:val="24"/>
          <w:lang w:eastAsia="fr-BE"/>
        </w:rPr>
      </w:pPr>
      <w:r w:rsidRPr="00140779">
        <w:rPr>
          <w:rFonts w:eastAsia="SimSun"/>
          <w:sz w:val="24"/>
          <w:szCs w:val="24"/>
          <w:lang w:eastAsia="fr-BE"/>
        </w:rPr>
        <w:t>In the PreSAP trial, the relative risk compared to placebo for this same</w:t>
      </w:r>
      <w:r w:rsidR="004B24FF" w:rsidRPr="00140779">
        <w:rPr>
          <w:rFonts w:eastAsia="SimSun"/>
          <w:sz w:val="24"/>
          <w:szCs w:val="24"/>
          <w:lang w:eastAsia="fr-BE"/>
        </w:rPr>
        <w:t xml:space="preserve"> </w:t>
      </w:r>
      <w:r w:rsidRPr="00140779">
        <w:rPr>
          <w:rFonts w:eastAsia="SimSun"/>
          <w:sz w:val="24"/>
          <w:szCs w:val="24"/>
          <w:lang w:eastAsia="fr-BE"/>
        </w:rPr>
        <w:t>composite endpoint (adjudicated) was 1.2 (95% CI 0.6 - 2.4) with celecoxib</w:t>
      </w:r>
      <w:r w:rsidR="004B24FF" w:rsidRPr="00140779">
        <w:rPr>
          <w:rFonts w:eastAsia="SimSun"/>
          <w:sz w:val="24"/>
          <w:szCs w:val="24"/>
          <w:lang w:eastAsia="fr-BE"/>
        </w:rPr>
        <w:t xml:space="preserve"> </w:t>
      </w:r>
      <w:r w:rsidRPr="00140779">
        <w:rPr>
          <w:rFonts w:eastAsia="SimSun"/>
          <w:sz w:val="24"/>
          <w:szCs w:val="24"/>
          <w:lang w:eastAsia="fr-BE"/>
        </w:rPr>
        <w:t>400 mg once daily compared to placebo. Cumulative rates for this composite</w:t>
      </w:r>
      <w:r w:rsidR="004B24FF" w:rsidRPr="00140779">
        <w:rPr>
          <w:rFonts w:eastAsia="SimSun"/>
          <w:sz w:val="24"/>
          <w:szCs w:val="24"/>
          <w:lang w:eastAsia="fr-BE"/>
        </w:rPr>
        <w:t xml:space="preserve"> </w:t>
      </w:r>
      <w:r w:rsidRPr="00140779">
        <w:rPr>
          <w:rFonts w:eastAsia="SimSun"/>
          <w:sz w:val="24"/>
          <w:szCs w:val="24"/>
          <w:lang w:eastAsia="fr-BE"/>
        </w:rPr>
        <w:t>endpoint over 3 years were 2.3% (21/933 subjects) and 1.9% (12/628</w:t>
      </w:r>
      <w:r w:rsidR="004B24FF" w:rsidRPr="00140779">
        <w:rPr>
          <w:rFonts w:eastAsia="SimSun"/>
          <w:sz w:val="24"/>
          <w:szCs w:val="24"/>
          <w:lang w:eastAsia="fr-BE"/>
        </w:rPr>
        <w:t xml:space="preserve"> </w:t>
      </w:r>
      <w:r w:rsidRPr="00140779">
        <w:rPr>
          <w:rFonts w:eastAsia="SimSun"/>
          <w:sz w:val="24"/>
          <w:szCs w:val="24"/>
          <w:lang w:eastAsia="fr-BE"/>
        </w:rPr>
        <w:t>subjects), respectively. The incidence of myocardial infarction (adjudicated)</w:t>
      </w:r>
      <w:r w:rsidR="004B24FF" w:rsidRPr="00140779">
        <w:rPr>
          <w:rFonts w:eastAsia="SimSun"/>
          <w:sz w:val="24"/>
          <w:szCs w:val="24"/>
          <w:lang w:eastAsia="fr-BE"/>
        </w:rPr>
        <w:t xml:space="preserve"> </w:t>
      </w:r>
      <w:r w:rsidRPr="00140779">
        <w:rPr>
          <w:rFonts w:eastAsia="SimSun"/>
          <w:sz w:val="24"/>
          <w:szCs w:val="24"/>
          <w:lang w:eastAsia="fr-BE"/>
        </w:rPr>
        <w:t>was 1.0% (9/933 subjects) with celecoxib 400 mg once daily and 0.6% (4/628</w:t>
      </w:r>
      <w:r w:rsidR="004B24FF" w:rsidRPr="00140779">
        <w:rPr>
          <w:rFonts w:eastAsia="SimSun"/>
          <w:sz w:val="24"/>
          <w:szCs w:val="24"/>
          <w:lang w:eastAsia="fr-BE"/>
        </w:rPr>
        <w:t xml:space="preserve"> </w:t>
      </w:r>
      <w:r w:rsidRPr="00140779">
        <w:rPr>
          <w:rFonts w:eastAsia="SimSun"/>
          <w:sz w:val="24"/>
          <w:szCs w:val="24"/>
          <w:lang w:eastAsia="fr-BE"/>
        </w:rPr>
        <w:t>subjects) with placebo.</w:t>
      </w:r>
    </w:p>
    <w:p w:rsidR="00F05E2A" w:rsidRPr="00140779" w:rsidRDefault="00F05E2A" w:rsidP="004B24FF">
      <w:pPr>
        <w:tabs>
          <w:tab w:val="clear" w:pos="567"/>
        </w:tabs>
        <w:autoSpaceDE w:val="0"/>
        <w:autoSpaceDN w:val="0"/>
        <w:adjustRightInd w:val="0"/>
        <w:spacing w:line="240" w:lineRule="auto"/>
        <w:jc w:val="both"/>
        <w:rPr>
          <w:rFonts w:eastAsia="SimSun"/>
          <w:sz w:val="24"/>
          <w:szCs w:val="24"/>
          <w:lang w:eastAsia="fr-BE"/>
        </w:rPr>
      </w:pPr>
      <w:r w:rsidRPr="00140779">
        <w:rPr>
          <w:rFonts w:eastAsia="SimSun"/>
          <w:sz w:val="24"/>
          <w:szCs w:val="24"/>
          <w:lang w:eastAsia="fr-BE"/>
        </w:rPr>
        <w:t xml:space="preserve">Data from a third long-term study, ADAPT (The Alzheimer's Disease </w:t>
      </w:r>
      <w:r w:rsidR="002C23CE" w:rsidRPr="00180EC2">
        <w:rPr>
          <w:rFonts w:eastAsia="SimSun"/>
          <w:sz w:val="24"/>
          <w:szCs w:val="24"/>
          <w:lang w:eastAsia="fr-BE"/>
        </w:rPr>
        <w:t>Anti-inflammatory</w:t>
      </w:r>
    </w:p>
    <w:p w:rsidR="00812D16" w:rsidRPr="00140779" w:rsidRDefault="00F05E2A" w:rsidP="004B24FF">
      <w:pPr>
        <w:tabs>
          <w:tab w:val="clear" w:pos="567"/>
        </w:tabs>
        <w:autoSpaceDE w:val="0"/>
        <w:autoSpaceDN w:val="0"/>
        <w:adjustRightInd w:val="0"/>
        <w:spacing w:line="240" w:lineRule="auto"/>
        <w:jc w:val="both"/>
        <w:rPr>
          <w:rFonts w:eastAsia="SimSun"/>
          <w:sz w:val="24"/>
          <w:szCs w:val="24"/>
          <w:lang w:eastAsia="fr-BE"/>
        </w:rPr>
      </w:pPr>
      <w:r w:rsidRPr="00140779">
        <w:rPr>
          <w:rFonts w:eastAsia="SimSun"/>
          <w:sz w:val="24"/>
          <w:szCs w:val="24"/>
          <w:lang w:eastAsia="fr-BE"/>
        </w:rPr>
        <w:t>Prevention Trial), did not show a significantly increased</w:t>
      </w:r>
      <w:r w:rsidR="004B24FF" w:rsidRPr="00140779">
        <w:rPr>
          <w:rFonts w:eastAsia="SimSun"/>
          <w:sz w:val="24"/>
          <w:szCs w:val="24"/>
          <w:lang w:eastAsia="fr-BE"/>
        </w:rPr>
        <w:t xml:space="preserve"> </w:t>
      </w:r>
      <w:r w:rsidRPr="00140779">
        <w:rPr>
          <w:rFonts w:eastAsia="SimSun"/>
          <w:sz w:val="24"/>
          <w:szCs w:val="24"/>
          <w:lang w:eastAsia="fr-BE"/>
        </w:rPr>
        <w:t>cardiovascular risk with celecoxib 200mg BID compared to placebo. The</w:t>
      </w:r>
      <w:r w:rsidR="004B24FF" w:rsidRPr="00140779">
        <w:rPr>
          <w:rFonts w:eastAsia="SimSun"/>
          <w:sz w:val="24"/>
          <w:szCs w:val="24"/>
          <w:lang w:eastAsia="fr-BE"/>
        </w:rPr>
        <w:t xml:space="preserve"> </w:t>
      </w:r>
      <w:r w:rsidRPr="00140779">
        <w:rPr>
          <w:rFonts w:eastAsia="SimSun"/>
          <w:sz w:val="24"/>
          <w:szCs w:val="24"/>
          <w:lang w:eastAsia="fr-BE"/>
        </w:rPr>
        <w:t>relative risk compared to placebo for a similar composite endpoint (CV death,</w:t>
      </w:r>
      <w:r w:rsidR="004B24FF" w:rsidRPr="00140779">
        <w:rPr>
          <w:rFonts w:eastAsia="SimSun"/>
          <w:sz w:val="24"/>
          <w:szCs w:val="24"/>
          <w:lang w:eastAsia="fr-BE"/>
        </w:rPr>
        <w:t xml:space="preserve"> </w:t>
      </w:r>
      <w:r w:rsidRPr="00140779">
        <w:rPr>
          <w:rFonts w:eastAsia="SimSun"/>
          <w:sz w:val="24"/>
          <w:szCs w:val="24"/>
          <w:lang w:eastAsia="fr-BE"/>
        </w:rPr>
        <w:t>MI, stroke) was 1.14 (95% CI 0.61 - 2.12) with celecoxib 200 mg twice daily.</w:t>
      </w:r>
      <w:r w:rsidR="004B24FF" w:rsidRPr="00140779">
        <w:rPr>
          <w:rFonts w:eastAsia="SimSun"/>
          <w:sz w:val="24"/>
          <w:szCs w:val="24"/>
          <w:lang w:eastAsia="fr-BE"/>
        </w:rPr>
        <w:t xml:space="preserve"> </w:t>
      </w:r>
      <w:r w:rsidRPr="00140779">
        <w:rPr>
          <w:rFonts w:eastAsia="SimSun"/>
          <w:sz w:val="24"/>
          <w:szCs w:val="24"/>
          <w:lang w:eastAsia="fr-BE"/>
        </w:rPr>
        <w:t>The incidence of myocardial infarction was 1.1% (8/717 patients) with</w:t>
      </w:r>
      <w:r w:rsidR="004B24FF" w:rsidRPr="00140779">
        <w:rPr>
          <w:rFonts w:eastAsia="SimSun"/>
          <w:sz w:val="24"/>
          <w:szCs w:val="24"/>
          <w:lang w:eastAsia="fr-BE"/>
        </w:rPr>
        <w:t xml:space="preserve"> </w:t>
      </w:r>
      <w:r w:rsidRPr="00140779">
        <w:rPr>
          <w:rFonts w:eastAsia="SimSun"/>
          <w:sz w:val="24"/>
          <w:szCs w:val="24"/>
          <w:lang w:eastAsia="fr-BE"/>
        </w:rPr>
        <w:t>celecoxib 200 mg twice daily and 1.2% (13/1070 patients) with placebo.</w:t>
      </w:r>
    </w:p>
    <w:p w:rsidR="004B24FF" w:rsidRPr="00140779" w:rsidRDefault="004B24FF" w:rsidP="004B24FF">
      <w:pPr>
        <w:tabs>
          <w:tab w:val="clear" w:pos="567"/>
        </w:tabs>
        <w:autoSpaceDE w:val="0"/>
        <w:autoSpaceDN w:val="0"/>
        <w:adjustRightInd w:val="0"/>
        <w:spacing w:line="240" w:lineRule="auto"/>
        <w:jc w:val="both"/>
        <w:rPr>
          <w:rFonts w:eastAsia="SimSun"/>
          <w:sz w:val="24"/>
          <w:szCs w:val="24"/>
          <w:lang w:eastAsia="fr-BE"/>
        </w:rPr>
      </w:pPr>
    </w:p>
    <w:p w:rsidR="00812D16" w:rsidRPr="00180EC2" w:rsidRDefault="00812D16" w:rsidP="004B24FF">
      <w:pPr>
        <w:ind w:left="567" w:hanging="567"/>
        <w:jc w:val="both"/>
        <w:outlineLvl w:val="0"/>
        <w:rPr>
          <w:b/>
          <w:noProof/>
          <w:szCs w:val="22"/>
        </w:rPr>
      </w:pPr>
      <w:r w:rsidRPr="00180EC2">
        <w:rPr>
          <w:b/>
          <w:noProof/>
          <w:szCs w:val="22"/>
        </w:rPr>
        <w:t>5.2</w:t>
      </w:r>
      <w:r w:rsidRPr="00180EC2">
        <w:rPr>
          <w:b/>
          <w:noProof/>
          <w:szCs w:val="22"/>
        </w:rPr>
        <w:tab/>
        <w:t>Pharmacokinetic properties</w:t>
      </w:r>
    </w:p>
    <w:p w:rsidR="00812D16" w:rsidRPr="00180EC2" w:rsidRDefault="00812D16" w:rsidP="004B24FF">
      <w:pPr>
        <w:ind w:left="567" w:hanging="567"/>
        <w:jc w:val="both"/>
        <w:outlineLvl w:val="0"/>
        <w:rPr>
          <w:b/>
          <w:noProof/>
          <w:szCs w:val="22"/>
        </w:rPr>
      </w:pPr>
    </w:p>
    <w:p w:rsidR="009864FB" w:rsidRPr="00140779" w:rsidRDefault="009864FB" w:rsidP="004B24FF">
      <w:pPr>
        <w:tabs>
          <w:tab w:val="clear" w:pos="567"/>
        </w:tabs>
        <w:autoSpaceDE w:val="0"/>
        <w:autoSpaceDN w:val="0"/>
        <w:adjustRightInd w:val="0"/>
        <w:spacing w:line="240" w:lineRule="auto"/>
        <w:jc w:val="both"/>
        <w:rPr>
          <w:rFonts w:eastAsia="SimSun"/>
          <w:szCs w:val="22"/>
          <w:u w:val="single"/>
          <w:lang w:eastAsia="fr-BE"/>
        </w:rPr>
      </w:pPr>
      <w:r w:rsidRPr="00140779">
        <w:rPr>
          <w:rFonts w:eastAsia="SimSun"/>
          <w:szCs w:val="22"/>
          <w:u w:val="single"/>
          <w:lang w:eastAsia="fr-BE"/>
        </w:rPr>
        <w:t>Absorption</w:t>
      </w:r>
    </w:p>
    <w:p w:rsidR="009864FB" w:rsidRPr="00140779" w:rsidRDefault="004B24FF" w:rsidP="004B24FF">
      <w:pPr>
        <w:tabs>
          <w:tab w:val="clear" w:pos="567"/>
        </w:tabs>
        <w:autoSpaceDE w:val="0"/>
        <w:autoSpaceDN w:val="0"/>
        <w:adjustRightInd w:val="0"/>
        <w:spacing w:line="240" w:lineRule="auto"/>
        <w:jc w:val="both"/>
        <w:rPr>
          <w:rFonts w:eastAsia="SimSun"/>
          <w:szCs w:val="22"/>
          <w:lang w:eastAsia="fr-BE"/>
        </w:rPr>
      </w:pPr>
      <w:r w:rsidRPr="00140779">
        <w:rPr>
          <w:rFonts w:eastAsia="SimSun"/>
          <w:szCs w:val="22"/>
          <w:lang w:eastAsia="fr-BE"/>
        </w:rPr>
        <w:t>Celecoxib is well absorbed reaching peak plasma concentrations after approximately 2-3 hours. Dosing with food (high fat meal) delays absorption by about 1 hour</w:t>
      </w:r>
      <w:r w:rsidR="009864FB" w:rsidRPr="00140779">
        <w:rPr>
          <w:rFonts w:eastAsia="SimSun"/>
          <w:szCs w:val="22"/>
          <w:lang w:eastAsia="fr-BE"/>
        </w:rPr>
        <w:t xml:space="preserve"> resulting in a T</w:t>
      </w:r>
      <w:r w:rsidR="009864FB" w:rsidRPr="00140779">
        <w:rPr>
          <w:rFonts w:eastAsia="SimSun"/>
          <w:szCs w:val="22"/>
          <w:vertAlign w:val="subscript"/>
          <w:lang w:eastAsia="fr-BE"/>
        </w:rPr>
        <w:t>ma</w:t>
      </w:r>
      <w:r w:rsidR="002C23CE">
        <w:rPr>
          <w:rFonts w:eastAsia="SimSun"/>
          <w:szCs w:val="22"/>
          <w:vertAlign w:val="subscript"/>
          <w:lang w:eastAsia="fr-BE"/>
        </w:rPr>
        <w:t>x</w:t>
      </w:r>
      <w:r w:rsidR="009864FB" w:rsidRPr="00140779">
        <w:rPr>
          <w:rFonts w:eastAsia="SimSun"/>
          <w:szCs w:val="22"/>
          <w:lang w:eastAsia="fr-BE"/>
        </w:rPr>
        <w:t xml:space="preserve"> of about 4 hours and increases bioavailability by about 20 %</w:t>
      </w:r>
      <w:r w:rsidRPr="00140779">
        <w:rPr>
          <w:rFonts w:eastAsia="SimSun"/>
          <w:szCs w:val="22"/>
          <w:lang w:eastAsia="fr-BE"/>
        </w:rPr>
        <w:t xml:space="preserve">. </w:t>
      </w:r>
    </w:p>
    <w:p w:rsidR="009864FB" w:rsidRPr="00140779" w:rsidRDefault="009864FB" w:rsidP="004B24FF">
      <w:pPr>
        <w:tabs>
          <w:tab w:val="clear" w:pos="567"/>
        </w:tabs>
        <w:autoSpaceDE w:val="0"/>
        <w:autoSpaceDN w:val="0"/>
        <w:adjustRightInd w:val="0"/>
        <w:spacing w:line="240" w:lineRule="auto"/>
        <w:jc w:val="both"/>
        <w:rPr>
          <w:rFonts w:eastAsia="SimSun"/>
          <w:szCs w:val="22"/>
          <w:lang w:eastAsia="fr-BE"/>
        </w:rPr>
      </w:pPr>
    </w:p>
    <w:p w:rsidR="009864FB" w:rsidRPr="00140779" w:rsidRDefault="009864FB" w:rsidP="004B24FF">
      <w:pPr>
        <w:tabs>
          <w:tab w:val="clear" w:pos="567"/>
        </w:tabs>
        <w:autoSpaceDE w:val="0"/>
        <w:autoSpaceDN w:val="0"/>
        <w:adjustRightInd w:val="0"/>
        <w:spacing w:line="240" w:lineRule="auto"/>
        <w:jc w:val="both"/>
        <w:rPr>
          <w:rFonts w:eastAsia="SimSun"/>
          <w:szCs w:val="22"/>
          <w:u w:val="single"/>
          <w:lang w:eastAsia="fr-BE"/>
        </w:rPr>
      </w:pPr>
      <w:r w:rsidRPr="00140779">
        <w:rPr>
          <w:rFonts w:eastAsia="SimSun"/>
          <w:szCs w:val="22"/>
          <w:u w:val="single"/>
          <w:lang w:eastAsia="fr-BE"/>
        </w:rPr>
        <w:t>Distribution</w:t>
      </w:r>
    </w:p>
    <w:p w:rsidR="009864FB" w:rsidRPr="00140779" w:rsidRDefault="009864FB" w:rsidP="004B24FF">
      <w:pPr>
        <w:tabs>
          <w:tab w:val="clear" w:pos="567"/>
        </w:tabs>
        <w:autoSpaceDE w:val="0"/>
        <w:autoSpaceDN w:val="0"/>
        <w:adjustRightInd w:val="0"/>
        <w:spacing w:line="240" w:lineRule="auto"/>
        <w:jc w:val="both"/>
        <w:rPr>
          <w:rFonts w:eastAsia="SimSun"/>
          <w:szCs w:val="22"/>
          <w:lang w:eastAsia="fr-BE"/>
        </w:rPr>
      </w:pPr>
      <w:r w:rsidRPr="00140779">
        <w:rPr>
          <w:rFonts w:eastAsia="SimSun"/>
          <w:szCs w:val="22"/>
          <w:lang w:eastAsia="fr-BE"/>
        </w:rPr>
        <w:t>Plasma protein binding is about 97 % at therapeutic plasma concentrations and the drug is not preferentially bound to erythrocytes.</w:t>
      </w:r>
    </w:p>
    <w:p w:rsidR="009864FB" w:rsidRPr="00140779" w:rsidRDefault="009864FB" w:rsidP="004B24FF">
      <w:pPr>
        <w:tabs>
          <w:tab w:val="clear" w:pos="567"/>
        </w:tabs>
        <w:autoSpaceDE w:val="0"/>
        <w:autoSpaceDN w:val="0"/>
        <w:adjustRightInd w:val="0"/>
        <w:spacing w:line="240" w:lineRule="auto"/>
        <w:jc w:val="both"/>
        <w:rPr>
          <w:rFonts w:eastAsia="SimSun"/>
          <w:szCs w:val="22"/>
          <w:lang w:eastAsia="fr-BE"/>
        </w:rPr>
      </w:pPr>
    </w:p>
    <w:p w:rsidR="009864FB" w:rsidRPr="00140779" w:rsidRDefault="009864FB" w:rsidP="004B24FF">
      <w:pPr>
        <w:tabs>
          <w:tab w:val="clear" w:pos="567"/>
        </w:tabs>
        <w:autoSpaceDE w:val="0"/>
        <w:autoSpaceDN w:val="0"/>
        <w:adjustRightInd w:val="0"/>
        <w:spacing w:line="240" w:lineRule="auto"/>
        <w:jc w:val="both"/>
        <w:rPr>
          <w:rFonts w:eastAsia="SimSun"/>
          <w:szCs w:val="22"/>
          <w:u w:val="single"/>
          <w:lang w:eastAsia="fr-BE"/>
        </w:rPr>
      </w:pPr>
      <w:r w:rsidRPr="00140779">
        <w:rPr>
          <w:rFonts w:eastAsia="SimSun"/>
          <w:szCs w:val="22"/>
          <w:u w:val="single"/>
          <w:lang w:eastAsia="fr-BE"/>
        </w:rPr>
        <w:t>Metabolism</w:t>
      </w:r>
    </w:p>
    <w:p w:rsidR="009864FB" w:rsidRPr="00140779" w:rsidRDefault="009864FB" w:rsidP="004B24FF">
      <w:pPr>
        <w:tabs>
          <w:tab w:val="clear" w:pos="567"/>
        </w:tabs>
        <w:autoSpaceDE w:val="0"/>
        <w:autoSpaceDN w:val="0"/>
        <w:adjustRightInd w:val="0"/>
        <w:spacing w:line="240" w:lineRule="auto"/>
        <w:jc w:val="both"/>
        <w:rPr>
          <w:rFonts w:eastAsia="SimSun"/>
          <w:szCs w:val="22"/>
          <w:u w:val="single"/>
          <w:lang w:eastAsia="fr-BE"/>
        </w:rPr>
      </w:pPr>
    </w:p>
    <w:p w:rsidR="009864FB" w:rsidRPr="00140779" w:rsidRDefault="009864FB" w:rsidP="004B24FF">
      <w:pPr>
        <w:tabs>
          <w:tab w:val="clear" w:pos="567"/>
        </w:tabs>
        <w:autoSpaceDE w:val="0"/>
        <w:autoSpaceDN w:val="0"/>
        <w:adjustRightInd w:val="0"/>
        <w:spacing w:line="240" w:lineRule="auto"/>
        <w:jc w:val="both"/>
        <w:rPr>
          <w:rFonts w:eastAsia="SimSun"/>
          <w:szCs w:val="22"/>
          <w:lang w:eastAsia="fr-BE"/>
        </w:rPr>
      </w:pPr>
      <w:r w:rsidRPr="00140779">
        <w:rPr>
          <w:rFonts w:eastAsia="SimSun"/>
          <w:szCs w:val="22"/>
          <w:lang w:eastAsia="fr-BE"/>
        </w:rPr>
        <w:t xml:space="preserve">Celecoxib metabolism is primarily mediated via cytochrome P450 2C9. Three metabolites, inactive as COX-1 or COX-2 inhibitors, have been identified in human plasma i.e., a primary alcohol, the corresponding </w:t>
      </w:r>
      <w:r w:rsidR="002C23CE" w:rsidRPr="00180EC2">
        <w:rPr>
          <w:rFonts w:eastAsia="SimSun"/>
          <w:szCs w:val="22"/>
          <w:lang w:eastAsia="fr-BE"/>
        </w:rPr>
        <w:t>carboxylic acid</w:t>
      </w:r>
      <w:r w:rsidRPr="00140779">
        <w:rPr>
          <w:rFonts w:eastAsia="SimSun"/>
          <w:szCs w:val="22"/>
          <w:lang w:eastAsia="fr-BE"/>
        </w:rPr>
        <w:t xml:space="preserve"> and its glucuronide conjugate.</w:t>
      </w:r>
    </w:p>
    <w:p w:rsidR="009864FB" w:rsidRPr="00140779" w:rsidRDefault="009864FB" w:rsidP="004B24FF">
      <w:pPr>
        <w:tabs>
          <w:tab w:val="clear" w:pos="567"/>
        </w:tabs>
        <w:autoSpaceDE w:val="0"/>
        <w:autoSpaceDN w:val="0"/>
        <w:adjustRightInd w:val="0"/>
        <w:spacing w:line="240" w:lineRule="auto"/>
        <w:jc w:val="both"/>
        <w:rPr>
          <w:rFonts w:eastAsia="SimSun"/>
          <w:szCs w:val="22"/>
          <w:lang w:eastAsia="fr-BE"/>
        </w:rPr>
      </w:pPr>
    </w:p>
    <w:p w:rsidR="009864FB" w:rsidRPr="00140779" w:rsidRDefault="009864FB" w:rsidP="004B24FF">
      <w:pPr>
        <w:tabs>
          <w:tab w:val="clear" w:pos="567"/>
        </w:tabs>
        <w:autoSpaceDE w:val="0"/>
        <w:autoSpaceDN w:val="0"/>
        <w:adjustRightInd w:val="0"/>
        <w:spacing w:line="240" w:lineRule="auto"/>
        <w:jc w:val="both"/>
        <w:rPr>
          <w:rFonts w:eastAsia="SimSun"/>
          <w:szCs w:val="22"/>
          <w:lang w:eastAsia="fr-BE"/>
        </w:rPr>
      </w:pPr>
      <w:r w:rsidRPr="00140779">
        <w:rPr>
          <w:rFonts w:eastAsia="SimSun"/>
          <w:szCs w:val="22"/>
          <w:lang w:eastAsia="fr-BE"/>
        </w:rPr>
        <w:t>Cytochrome P450 2C9 activity is reduced in individuals with genetic polymorphisms that lead to reduced enzyme activity, such as those homozygous for the CYP2C9*3 polymorphism.</w:t>
      </w:r>
    </w:p>
    <w:p w:rsidR="009864FB" w:rsidRPr="00140779" w:rsidRDefault="009864FB" w:rsidP="004B24FF">
      <w:pPr>
        <w:tabs>
          <w:tab w:val="clear" w:pos="567"/>
        </w:tabs>
        <w:autoSpaceDE w:val="0"/>
        <w:autoSpaceDN w:val="0"/>
        <w:adjustRightInd w:val="0"/>
        <w:spacing w:line="240" w:lineRule="auto"/>
        <w:jc w:val="both"/>
        <w:rPr>
          <w:rFonts w:eastAsia="SimSun"/>
          <w:szCs w:val="22"/>
          <w:lang w:eastAsia="fr-BE"/>
        </w:rPr>
      </w:pPr>
    </w:p>
    <w:p w:rsidR="009864FB" w:rsidRPr="00140779" w:rsidRDefault="009864FB" w:rsidP="009864FB">
      <w:pPr>
        <w:tabs>
          <w:tab w:val="clear" w:pos="567"/>
        </w:tabs>
        <w:autoSpaceDE w:val="0"/>
        <w:autoSpaceDN w:val="0"/>
        <w:adjustRightInd w:val="0"/>
        <w:spacing w:line="240" w:lineRule="auto"/>
        <w:jc w:val="both"/>
        <w:rPr>
          <w:rFonts w:eastAsia="SimSun"/>
          <w:sz w:val="24"/>
          <w:szCs w:val="24"/>
          <w:lang w:eastAsia="fr-BE"/>
        </w:rPr>
      </w:pPr>
      <w:r w:rsidRPr="00140779">
        <w:rPr>
          <w:rFonts w:eastAsia="SimSun"/>
          <w:sz w:val="24"/>
          <w:szCs w:val="24"/>
          <w:lang w:eastAsia="fr-BE"/>
        </w:rPr>
        <w:t xml:space="preserve">In a pharmacokinetic study of celecoxib 200 mg administered once daily in healthy volunteers, genotyped as either CYP2C9*1/*1, CYP2C9*1/*3, or CYP2C9*3/*3, the median Cmax and AUC 0-24 of celecoxib on day 7 were approximately 4-fold and 7-fold, respectively, in subjects genotyped as CYP2C9*3/*3 compared to other genotypes. In three separate single dose studies, involving a total of 5 subjects genotyped as CYP2C9*3/*3, </w:t>
      </w:r>
      <w:r w:rsidR="002C23CE" w:rsidRPr="00180EC2">
        <w:rPr>
          <w:rFonts w:eastAsia="SimSun"/>
          <w:sz w:val="24"/>
          <w:szCs w:val="24"/>
          <w:lang w:eastAsia="fr-BE"/>
        </w:rPr>
        <w:t>single dose</w:t>
      </w:r>
      <w:r w:rsidRPr="00140779">
        <w:rPr>
          <w:rFonts w:eastAsia="SimSun"/>
          <w:sz w:val="24"/>
          <w:szCs w:val="24"/>
          <w:lang w:eastAsia="fr-BE"/>
        </w:rPr>
        <w:t xml:space="preserve"> AUC 0-24 increased by approximately 3-fold compared to normal metabolizers. It is estimated that the frequency of the homozygous *3/*3 genotype is 0.3-1.0% among different ethnic groups. </w:t>
      </w:r>
    </w:p>
    <w:p w:rsidR="009864FB" w:rsidRPr="00140779" w:rsidRDefault="009864FB" w:rsidP="009864FB">
      <w:pPr>
        <w:tabs>
          <w:tab w:val="clear" w:pos="567"/>
        </w:tabs>
        <w:autoSpaceDE w:val="0"/>
        <w:autoSpaceDN w:val="0"/>
        <w:adjustRightInd w:val="0"/>
        <w:spacing w:line="240" w:lineRule="auto"/>
        <w:jc w:val="both"/>
        <w:rPr>
          <w:rFonts w:eastAsia="SimSun"/>
          <w:sz w:val="24"/>
          <w:szCs w:val="24"/>
          <w:lang w:eastAsia="fr-BE"/>
        </w:rPr>
      </w:pPr>
    </w:p>
    <w:p w:rsidR="009864FB" w:rsidRPr="00140779" w:rsidRDefault="009864FB" w:rsidP="009864FB">
      <w:pPr>
        <w:tabs>
          <w:tab w:val="clear" w:pos="567"/>
        </w:tabs>
        <w:autoSpaceDE w:val="0"/>
        <w:autoSpaceDN w:val="0"/>
        <w:adjustRightInd w:val="0"/>
        <w:spacing w:line="240" w:lineRule="auto"/>
        <w:jc w:val="both"/>
        <w:rPr>
          <w:rFonts w:eastAsia="SimSun"/>
          <w:sz w:val="24"/>
          <w:szCs w:val="24"/>
          <w:lang w:eastAsia="fr-BE"/>
        </w:rPr>
      </w:pPr>
      <w:r w:rsidRPr="00140779">
        <w:rPr>
          <w:rFonts w:eastAsia="SimSun"/>
          <w:sz w:val="24"/>
          <w:szCs w:val="24"/>
          <w:lang w:eastAsia="fr-BE"/>
        </w:rPr>
        <w:lastRenderedPageBreak/>
        <w:t>Patients who are known, or suspected to be CYP2C9 poor metabolizers based on previous history/experience with other CYP2C9 substrates should be administered celecoxib with caution (see section 4.2).</w:t>
      </w:r>
    </w:p>
    <w:p w:rsidR="009864FB" w:rsidRPr="00140779" w:rsidRDefault="009864FB" w:rsidP="009864FB">
      <w:pPr>
        <w:tabs>
          <w:tab w:val="clear" w:pos="567"/>
        </w:tabs>
        <w:autoSpaceDE w:val="0"/>
        <w:autoSpaceDN w:val="0"/>
        <w:adjustRightInd w:val="0"/>
        <w:spacing w:line="240" w:lineRule="auto"/>
        <w:jc w:val="both"/>
        <w:rPr>
          <w:rFonts w:eastAsia="SimSun"/>
          <w:sz w:val="24"/>
          <w:szCs w:val="24"/>
          <w:lang w:eastAsia="fr-BE"/>
        </w:rPr>
      </w:pPr>
    </w:p>
    <w:p w:rsidR="009864FB" w:rsidRPr="00140779" w:rsidRDefault="009864FB" w:rsidP="009864FB">
      <w:pPr>
        <w:tabs>
          <w:tab w:val="clear" w:pos="567"/>
        </w:tabs>
        <w:autoSpaceDE w:val="0"/>
        <w:autoSpaceDN w:val="0"/>
        <w:adjustRightInd w:val="0"/>
        <w:spacing w:line="240" w:lineRule="auto"/>
        <w:jc w:val="both"/>
        <w:rPr>
          <w:rFonts w:eastAsia="SimSun"/>
          <w:szCs w:val="22"/>
          <w:lang w:eastAsia="fr-BE"/>
        </w:rPr>
      </w:pPr>
      <w:r w:rsidRPr="00140779">
        <w:rPr>
          <w:rFonts w:eastAsia="SimSun"/>
          <w:szCs w:val="22"/>
          <w:lang w:eastAsia="fr-BE"/>
        </w:rPr>
        <w:t>No clinically significant differences were found in PK parameters of celecoxib between elderly African-Americans and Caucasians.</w:t>
      </w:r>
    </w:p>
    <w:p w:rsidR="009864FB" w:rsidRPr="00140779" w:rsidRDefault="009864FB" w:rsidP="009864FB">
      <w:pPr>
        <w:tabs>
          <w:tab w:val="clear" w:pos="567"/>
        </w:tabs>
        <w:autoSpaceDE w:val="0"/>
        <w:autoSpaceDN w:val="0"/>
        <w:adjustRightInd w:val="0"/>
        <w:spacing w:line="240" w:lineRule="auto"/>
        <w:jc w:val="both"/>
        <w:rPr>
          <w:rFonts w:eastAsia="SimSun"/>
          <w:szCs w:val="22"/>
          <w:lang w:eastAsia="fr-BE"/>
        </w:rPr>
      </w:pPr>
    </w:p>
    <w:p w:rsidR="009864FB" w:rsidRPr="00140779" w:rsidRDefault="009864FB" w:rsidP="009864FB">
      <w:pPr>
        <w:tabs>
          <w:tab w:val="clear" w:pos="567"/>
        </w:tabs>
        <w:autoSpaceDE w:val="0"/>
        <w:autoSpaceDN w:val="0"/>
        <w:adjustRightInd w:val="0"/>
        <w:spacing w:line="240" w:lineRule="auto"/>
        <w:jc w:val="both"/>
        <w:rPr>
          <w:rFonts w:eastAsia="SimSun"/>
          <w:szCs w:val="22"/>
          <w:lang w:eastAsia="fr-BE"/>
        </w:rPr>
      </w:pPr>
      <w:r w:rsidRPr="00140779">
        <w:rPr>
          <w:rFonts w:eastAsia="SimSun"/>
          <w:szCs w:val="22"/>
          <w:lang w:eastAsia="fr-BE"/>
        </w:rPr>
        <w:t>The plasma concentration of celecoxib is approximately 100</w:t>
      </w:r>
      <w:r w:rsidR="002C23CE">
        <w:rPr>
          <w:rFonts w:eastAsia="SimSun"/>
          <w:szCs w:val="22"/>
          <w:lang w:eastAsia="fr-BE"/>
        </w:rPr>
        <w:t xml:space="preserve"> </w:t>
      </w:r>
      <w:r w:rsidRPr="00140779">
        <w:rPr>
          <w:rFonts w:eastAsia="SimSun"/>
          <w:szCs w:val="22"/>
          <w:lang w:eastAsia="fr-BE"/>
        </w:rPr>
        <w:t>% increased in elderly women (&gt;65 years).</w:t>
      </w:r>
    </w:p>
    <w:p w:rsidR="009864FB" w:rsidRPr="00140779" w:rsidRDefault="009864FB" w:rsidP="009864FB">
      <w:pPr>
        <w:tabs>
          <w:tab w:val="clear" w:pos="567"/>
        </w:tabs>
        <w:autoSpaceDE w:val="0"/>
        <w:autoSpaceDN w:val="0"/>
        <w:adjustRightInd w:val="0"/>
        <w:spacing w:line="240" w:lineRule="auto"/>
        <w:jc w:val="both"/>
        <w:rPr>
          <w:rFonts w:eastAsia="SimSun"/>
          <w:szCs w:val="22"/>
          <w:lang w:eastAsia="fr-BE"/>
        </w:rPr>
      </w:pPr>
    </w:p>
    <w:p w:rsidR="009864FB" w:rsidRPr="00140779" w:rsidRDefault="009864FB" w:rsidP="009864FB">
      <w:pPr>
        <w:tabs>
          <w:tab w:val="clear" w:pos="567"/>
        </w:tabs>
        <w:autoSpaceDE w:val="0"/>
        <w:autoSpaceDN w:val="0"/>
        <w:adjustRightInd w:val="0"/>
        <w:spacing w:line="240" w:lineRule="auto"/>
        <w:jc w:val="both"/>
        <w:rPr>
          <w:rFonts w:eastAsia="SimSun"/>
          <w:szCs w:val="22"/>
          <w:lang w:eastAsia="fr-BE"/>
        </w:rPr>
      </w:pPr>
      <w:r w:rsidRPr="00140779">
        <w:rPr>
          <w:rFonts w:eastAsia="SimSun"/>
          <w:szCs w:val="22"/>
          <w:lang w:eastAsia="fr-BE"/>
        </w:rPr>
        <w:t>Compared to subjects with normal hepatic function, patients with mild hepatic impairment had a mean increase in Cmax of 53% and in AUC of 26% of celecoxib. The corresponding values in patients with moderate hepatic impairment were 41% and 146% respectively. The metabolic capacity in patients with mild to moderate impairment was best correlated to their albumin values. Treatment should be initiated at half the recommended dose in patients with moderate liver impairment (with serum albumin 25-35g/L). Patients with severe hepatic impairment (serum albumin &lt;25 g/l) have not been studied and celecoxib is contraindicated in this patient group.</w:t>
      </w:r>
    </w:p>
    <w:p w:rsidR="009864FB" w:rsidRPr="00140779" w:rsidRDefault="009864FB" w:rsidP="009864FB">
      <w:pPr>
        <w:tabs>
          <w:tab w:val="clear" w:pos="567"/>
        </w:tabs>
        <w:autoSpaceDE w:val="0"/>
        <w:autoSpaceDN w:val="0"/>
        <w:adjustRightInd w:val="0"/>
        <w:spacing w:line="240" w:lineRule="auto"/>
        <w:jc w:val="both"/>
        <w:rPr>
          <w:rFonts w:eastAsia="SimSun"/>
          <w:szCs w:val="22"/>
          <w:lang w:eastAsia="fr-BE"/>
        </w:rPr>
      </w:pPr>
    </w:p>
    <w:p w:rsidR="009864FB" w:rsidRPr="00140779" w:rsidRDefault="009864FB" w:rsidP="009864FB">
      <w:pPr>
        <w:tabs>
          <w:tab w:val="clear" w:pos="567"/>
        </w:tabs>
        <w:autoSpaceDE w:val="0"/>
        <w:autoSpaceDN w:val="0"/>
        <w:adjustRightInd w:val="0"/>
        <w:spacing w:line="240" w:lineRule="auto"/>
        <w:jc w:val="both"/>
        <w:rPr>
          <w:rFonts w:eastAsia="SimSun"/>
          <w:szCs w:val="22"/>
          <w:lang w:eastAsia="fr-BE"/>
        </w:rPr>
      </w:pPr>
      <w:r w:rsidRPr="00140779">
        <w:rPr>
          <w:rFonts w:eastAsia="SimSun"/>
          <w:szCs w:val="22"/>
          <w:lang w:eastAsia="fr-BE"/>
        </w:rPr>
        <w:t>There is little experience of celecoxib in renal impairment. The pharmacokinetics of celecoxib has not been studied in patients with renal impairment but is unlikely to be markedly changed in these patients. Thus caution is advised when treating patients with renal impairment. Severe renal impairment is contraindicated.</w:t>
      </w:r>
    </w:p>
    <w:p w:rsidR="009864FB" w:rsidRPr="00140779" w:rsidRDefault="009864FB" w:rsidP="004B24FF">
      <w:pPr>
        <w:tabs>
          <w:tab w:val="clear" w:pos="567"/>
        </w:tabs>
        <w:autoSpaceDE w:val="0"/>
        <w:autoSpaceDN w:val="0"/>
        <w:adjustRightInd w:val="0"/>
        <w:spacing w:line="240" w:lineRule="auto"/>
        <w:jc w:val="both"/>
        <w:rPr>
          <w:rFonts w:eastAsia="SimSun"/>
          <w:szCs w:val="22"/>
          <w:lang w:eastAsia="fr-BE"/>
        </w:rPr>
      </w:pPr>
    </w:p>
    <w:p w:rsidR="009864FB" w:rsidRPr="00140779" w:rsidRDefault="009864FB" w:rsidP="004B24FF">
      <w:pPr>
        <w:tabs>
          <w:tab w:val="clear" w:pos="567"/>
        </w:tabs>
        <w:autoSpaceDE w:val="0"/>
        <w:autoSpaceDN w:val="0"/>
        <w:adjustRightInd w:val="0"/>
        <w:spacing w:line="240" w:lineRule="auto"/>
        <w:jc w:val="both"/>
        <w:rPr>
          <w:rFonts w:eastAsia="SimSun"/>
          <w:szCs w:val="22"/>
          <w:lang w:eastAsia="fr-BE"/>
        </w:rPr>
      </w:pPr>
      <w:r w:rsidRPr="00140779">
        <w:rPr>
          <w:rFonts w:eastAsia="SimSun"/>
          <w:szCs w:val="22"/>
          <w:u w:val="single"/>
          <w:lang w:eastAsia="fr-BE"/>
        </w:rPr>
        <w:t>Elimination</w:t>
      </w:r>
    </w:p>
    <w:p w:rsidR="004B24FF" w:rsidRPr="00140779" w:rsidRDefault="004B24FF" w:rsidP="004B24FF">
      <w:pPr>
        <w:tabs>
          <w:tab w:val="clear" w:pos="567"/>
        </w:tabs>
        <w:autoSpaceDE w:val="0"/>
        <w:autoSpaceDN w:val="0"/>
        <w:adjustRightInd w:val="0"/>
        <w:spacing w:line="240" w:lineRule="auto"/>
        <w:jc w:val="both"/>
        <w:rPr>
          <w:rFonts w:eastAsia="SimSun"/>
          <w:sz w:val="24"/>
          <w:szCs w:val="24"/>
          <w:lang w:eastAsia="fr-BE"/>
        </w:rPr>
      </w:pPr>
      <w:r w:rsidRPr="00140779">
        <w:rPr>
          <w:rFonts w:eastAsia="SimSun"/>
          <w:szCs w:val="22"/>
          <w:lang w:eastAsia="fr-BE"/>
        </w:rPr>
        <w:t xml:space="preserve">Celecoxib is mainly eliminated by metabolism. Less than 1% of the dose is excreted unchanged in urine. The inter-subject variability in the exposure of celecoxib is about 10-fold. Celecoxib exhibits dose- and time-independent pharmacokinetics in the therapeutic dose range. Plasma protein binding is about 97% at therapeutic plasma concentrations and the drug is not preferentially bound to erythrocytes. Elimination half-life is 8-12 hours. Steady state plasma concentrations are reached within 5 days of treatment. </w:t>
      </w:r>
    </w:p>
    <w:p w:rsidR="004B24FF" w:rsidRPr="00140779" w:rsidRDefault="004B24FF" w:rsidP="004B24FF">
      <w:pPr>
        <w:tabs>
          <w:tab w:val="clear" w:pos="567"/>
        </w:tabs>
        <w:autoSpaceDE w:val="0"/>
        <w:autoSpaceDN w:val="0"/>
        <w:adjustRightInd w:val="0"/>
        <w:spacing w:line="240" w:lineRule="auto"/>
        <w:jc w:val="both"/>
        <w:rPr>
          <w:rFonts w:eastAsia="SimSun"/>
          <w:sz w:val="24"/>
          <w:szCs w:val="24"/>
          <w:lang w:eastAsia="fr-BE"/>
        </w:rPr>
      </w:pPr>
    </w:p>
    <w:p w:rsidR="004B24FF" w:rsidRPr="00140779" w:rsidRDefault="004B24FF" w:rsidP="004B24FF">
      <w:pPr>
        <w:tabs>
          <w:tab w:val="clear" w:pos="567"/>
        </w:tabs>
        <w:autoSpaceDE w:val="0"/>
        <w:autoSpaceDN w:val="0"/>
        <w:adjustRightInd w:val="0"/>
        <w:spacing w:line="240" w:lineRule="auto"/>
        <w:rPr>
          <w:rFonts w:eastAsia="SimSun"/>
          <w:szCs w:val="22"/>
          <w:lang w:eastAsia="fr-BE"/>
        </w:rPr>
      </w:pPr>
    </w:p>
    <w:p w:rsidR="00812D16" w:rsidRPr="00180EC2" w:rsidRDefault="00812D16" w:rsidP="006B4557">
      <w:pPr>
        <w:ind w:left="567" w:hanging="567"/>
        <w:outlineLvl w:val="0"/>
        <w:rPr>
          <w:noProof/>
          <w:szCs w:val="22"/>
        </w:rPr>
      </w:pPr>
      <w:r w:rsidRPr="00180EC2">
        <w:rPr>
          <w:b/>
          <w:noProof/>
          <w:szCs w:val="22"/>
        </w:rPr>
        <w:t>5.3</w:t>
      </w:r>
      <w:r w:rsidRPr="00180EC2">
        <w:rPr>
          <w:b/>
          <w:noProof/>
          <w:szCs w:val="22"/>
        </w:rPr>
        <w:tab/>
        <w:t>Preclinical safety data</w:t>
      </w:r>
    </w:p>
    <w:p w:rsidR="00812D16" w:rsidRPr="00180EC2" w:rsidRDefault="00812D16" w:rsidP="006B4557">
      <w:pPr>
        <w:rPr>
          <w:noProof/>
          <w:szCs w:val="22"/>
        </w:rPr>
      </w:pPr>
    </w:p>
    <w:p w:rsidR="004B24FF" w:rsidRPr="00140779" w:rsidRDefault="004B24FF" w:rsidP="004B24FF">
      <w:pPr>
        <w:tabs>
          <w:tab w:val="clear" w:pos="567"/>
        </w:tabs>
        <w:autoSpaceDE w:val="0"/>
        <w:autoSpaceDN w:val="0"/>
        <w:adjustRightInd w:val="0"/>
        <w:spacing w:line="240" w:lineRule="auto"/>
        <w:rPr>
          <w:rFonts w:eastAsia="SimSun"/>
          <w:sz w:val="24"/>
          <w:szCs w:val="24"/>
          <w:lang w:eastAsia="fr-BE"/>
        </w:rPr>
      </w:pPr>
      <w:r w:rsidRPr="00140779">
        <w:rPr>
          <w:rFonts w:eastAsia="SimSun"/>
          <w:sz w:val="24"/>
          <w:szCs w:val="24"/>
          <w:lang w:eastAsia="fr-BE"/>
        </w:rPr>
        <w:t>Conventional embryo-</w:t>
      </w:r>
      <w:r w:rsidR="002C23CE" w:rsidRPr="00180EC2">
        <w:rPr>
          <w:rFonts w:eastAsia="SimSun"/>
          <w:sz w:val="24"/>
          <w:szCs w:val="24"/>
          <w:lang w:eastAsia="fr-BE"/>
        </w:rPr>
        <w:t>foetal</w:t>
      </w:r>
      <w:r w:rsidRPr="00140779">
        <w:rPr>
          <w:rFonts w:eastAsia="SimSun"/>
          <w:sz w:val="24"/>
          <w:szCs w:val="24"/>
          <w:lang w:eastAsia="fr-BE"/>
        </w:rPr>
        <w:t xml:space="preserve"> toxicity studies resulted in dose dependent occurrences of diaphragmatic hernia in rat </w:t>
      </w:r>
      <w:r w:rsidR="002C23CE" w:rsidRPr="00180EC2">
        <w:rPr>
          <w:rFonts w:eastAsia="SimSun"/>
          <w:sz w:val="24"/>
          <w:szCs w:val="24"/>
          <w:lang w:eastAsia="fr-BE"/>
        </w:rPr>
        <w:t>foetuses</w:t>
      </w:r>
      <w:r w:rsidRPr="00140779">
        <w:rPr>
          <w:rFonts w:eastAsia="SimSun"/>
          <w:sz w:val="24"/>
          <w:szCs w:val="24"/>
          <w:lang w:eastAsia="fr-BE"/>
        </w:rPr>
        <w:t xml:space="preserve"> and of cardiovascular malformations in rabbit </w:t>
      </w:r>
      <w:r w:rsidR="002C23CE" w:rsidRPr="00180EC2">
        <w:rPr>
          <w:rFonts w:eastAsia="SimSun"/>
          <w:sz w:val="24"/>
          <w:szCs w:val="24"/>
          <w:lang w:eastAsia="fr-BE"/>
        </w:rPr>
        <w:t>foetuses</w:t>
      </w:r>
      <w:r w:rsidRPr="00140779">
        <w:rPr>
          <w:rFonts w:eastAsia="SimSun"/>
          <w:sz w:val="24"/>
          <w:szCs w:val="24"/>
          <w:lang w:eastAsia="fr-BE"/>
        </w:rPr>
        <w:t xml:space="preserve"> at systemic exposures to free drug approximately 5X (rat) and 3X (rabbit) higher than those achieved at the maximum recommended daily human dose (400 mg). Diaphragmatic hernia was also seen in a peri-post natal toxicity study in rats, which included exposure during the organogenetic period. In the latter study, at the lowest systemic exposure where this anomaly occurred in a single animal, the estimated margin relative to the maximum recommended daily human dose was 3X.</w:t>
      </w:r>
    </w:p>
    <w:p w:rsidR="004B24FF" w:rsidRPr="00140779" w:rsidRDefault="004B24FF" w:rsidP="004B24FF">
      <w:pPr>
        <w:tabs>
          <w:tab w:val="clear" w:pos="567"/>
        </w:tabs>
        <w:autoSpaceDE w:val="0"/>
        <w:autoSpaceDN w:val="0"/>
        <w:adjustRightInd w:val="0"/>
        <w:spacing w:line="240" w:lineRule="auto"/>
        <w:rPr>
          <w:rFonts w:eastAsia="SimSun"/>
          <w:sz w:val="24"/>
          <w:szCs w:val="24"/>
          <w:lang w:eastAsia="fr-BE"/>
        </w:rPr>
      </w:pPr>
    </w:p>
    <w:p w:rsidR="004B24FF" w:rsidRPr="00180EC2" w:rsidRDefault="004B24FF" w:rsidP="004B24FF">
      <w:pPr>
        <w:tabs>
          <w:tab w:val="clear" w:pos="567"/>
        </w:tabs>
        <w:autoSpaceDE w:val="0"/>
        <w:autoSpaceDN w:val="0"/>
        <w:adjustRightInd w:val="0"/>
        <w:spacing w:line="240" w:lineRule="auto"/>
        <w:rPr>
          <w:rFonts w:eastAsia="SimSun"/>
          <w:sz w:val="24"/>
          <w:szCs w:val="24"/>
          <w:lang w:eastAsia="fr-BE"/>
        </w:rPr>
      </w:pPr>
      <w:r w:rsidRPr="00140779">
        <w:rPr>
          <w:rFonts w:eastAsia="SimSun"/>
          <w:sz w:val="24"/>
          <w:szCs w:val="24"/>
          <w:lang w:eastAsia="fr-BE"/>
        </w:rPr>
        <w:t xml:space="preserve">In animals, exposure to celecoxib during early embryonic development resulted in pre-implantation and post-implantation losses. </w:t>
      </w:r>
      <w:r w:rsidRPr="00180EC2">
        <w:rPr>
          <w:rFonts w:eastAsia="SimSun"/>
          <w:sz w:val="24"/>
          <w:szCs w:val="24"/>
          <w:lang w:eastAsia="fr-BE"/>
        </w:rPr>
        <w:t>These effects are expected following inhibition of prostaglandin synthesis.</w:t>
      </w:r>
    </w:p>
    <w:p w:rsidR="004B24FF" w:rsidRPr="00180EC2" w:rsidRDefault="004B24FF" w:rsidP="004B24FF">
      <w:pPr>
        <w:tabs>
          <w:tab w:val="clear" w:pos="567"/>
        </w:tabs>
        <w:autoSpaceDE w:val="0"/>
        <w:autoSpaceDN w:val="0"/>
        <w:adjustRightInd w:val="0"/>
        <w:spacing w:line="240" w:lineRule="auto"/>
        <w:rPr>
          <w:rFonts w:eastAsia="SimSun"/>
          <w:sz w:val="24"/>
          <w:szCs w:val="24"/>
          <w:lang w:eastAsia="fr-BE"/>
        </w:rPr>
      </w:pPr>
    </w:p>
    <w:p w:rsidR="004B24FF" w:rsidRPr="00140779" w:rsidRDefault="004B24FF" w:rsidP="004B24FF">
      <w:pPr>
        <w:tabs>
          <w:tab w:val="clear" w:pos="567"/>
        </w:tabs>
        <w:autoSpaceDE w:val="0"/>
        <w:autoSpaceDN w:val="0"/>
        <w:adjustRightInd w:val="0"/>
        <w:spacing w:line="240" w:lineRule="auto"/>
        <w:rPr>
          <w:rFonts w:eastAsia="SimSun"/>
          <w:sz w:val="24"/>
          <w:szCs w:val="24"/>
          <w:lang w:eastAsia="fr-BE"/>
        </w:rPr>
      </w:pPr>
      <w:r w:rsidRPr="00140779">
        <w:rPr>
          <w:rFonts w:eastAsia="SimSun"/>
          <w:sz w:val="24"/>
          <w:szCs w:val="24"/>
          <w:lang w:eastAsia="fr-BE"/>
        </w:rPr>
        <w:t>Celecoxib was excreted in rat milk. In a peri-post natal study in rats, pup toxicity was observed.</w:t>
      </w:r>
    </w:p>
    <w:p w:rsidR="004B24FF" w:rsidRPr="00140779" w:rsidRDefault="004B24FF" w:rsidP="004B24FF">
      <w:pPr>
        <w:tabs>
          <w:tab w:val="clear" w:pos="567"/>
        </w:tabs>
        <w:autoSpaceDE w:val="0"/>
        <w:autoSpaceDN w:val="0"/>
        <w:adjustRightInd w:val="0"/>
        <w:spacing w:line="240" w:lineRule="auto"/>
        <w:rPr>
          <w:rFonts w:eastAsia="SimSun"/>
          <w:sz w:val="24"/>
          <w:szCs w:val="24"/>
          <w:lang w:eastAsia="fr-BE"/>
        </w:rPr>
      </w:pPr>
    </w:p>
    <w:p w:rsidR="004B24FF" w:rsidRPr="00140779" w:rsidRDefault="004B24FF" w:rsidP="004B24FF">
      <w:pPr>
        <w:tabs>
          <w:tab w:val="clear" w:pos="567"/>
        </w:tabs>
        <w:autoSpaceDE w:val="0"/>
        <w:autoSpaceDN w:val="0"/>
        <w:adjustRightInd w:val="0"/>
        <w:spacing w:line="240" w:lineRule="auto"/>
        <w:rPr>
          <w:rFonts w:eastAsia="SimSun"/>
          <w:sz w:val="24"/>
          <w:szCs w:val="24"/>
          <w:lang w:eastAsia="fr-BE"/>
        </w:rPr>
      </w:pPr>
      <w:r w:rsidRPr="00140779">
        <w:rPr>
          <w:rFonts w:eastAsia="SimSun"/>
          <w:sz w:val="24"/>
          <w:szCs w:val="24"/>
          <w:lang w:eastAsia="fr-BE"/>
        </w:rPr>
        <w:t>Based on conventional studies, genotoxicity or carcinogenicity, no special hazard for humans was observed, beyond those addressed in other sections of the SmPC. In a two-year toxicity study an increase in nonadrenal thrombosis was observed in male rat at high doses.</w:t>
      </w:r>
    </w:p>
    <w:p w:rsidR="004B24FF" w:rsidRPr="00140779" w:rsidRDefault="004B24FF" w:rsidP="004B24FF">
      <w:pPr>
        <w:tabs>
          <w:tab w:val="clear" w:pos="567"/>
        </w:tabs>
        <w:autoSpaceDE w:val="0"/>
        <w:autoSpaceDN w:val="0"/>
        <w:adjustRightInd w:val="0"/>
        <w:spacing w:line="240" w:lineRule="auto"/>
        <w:rPr>
          <w:rFonts w:eastAsia="SimSun"/>
          <w:sz w:val="24"/>
          <w:szCs w:val="24"/>
          <w:lang w:eastAsia="fr-BE"/>
        </w:rPr>
      </w:pPr>
    </w:p>
    <w:p w:rsidR="00301D5E" w:rsidRPr="00180EC2" w:rsidRDefault="00301D5E" w:rsidP="00635AC7">
      <w:pPr>
        <w:suppressAutoHyphens/>
        <w:ind w:left="567" w:hanging="567"/>
        <w:rPr>
          <w:b/>
          <w:noProof/>
          <w:szCs w:val="22"/>
        </w:rPr>
      </w:pPr>
    </w:p>
    <w:p w:rsidR="00301D5E" w:rsidRPr="00180EC2" w:rsidRDefault="00301D5E" w:rsidP="00635AC7">
      <w:pPr>
        <w:suppressAutoHyphens/>
        <w:ind w:left="567" w:hanging="567"/>
        <w:rPr>
          <w:b/>
          <w:noProof/>
          <w:szCs w:val="22"/>
        </w:rPr>
      </w:pPr>
    </w:p>
    <w:p w:rsidR="00301D5E" w:rsidRPr="00180EC2" w:rsidRDefault="00301D5E" w:rsidP="00635AC7">
      <w:pPr>
        <w:suppressAutoHyphens/>
        <w:ind w:left="567" w:hanging="567"/>
        <w:rPr>
          <w:b/>
          <w:noProof/>
          <w:szCs w:val="22"/>
        </w:rPr>
      </w:pPr>
    </w:p>
    <w:p w:rsidR="00301D5E" w:rsidRPr="00180EC2" w:rsidRDefault="00301D5E" w:rsidP="00635AC7">
      <w:pPr>
        <w:suppressAutoHyphens/>
        <w:ind w:left="567" w:hanging="567"/>
        <w:rPr>
          <w:b/>
          <w:noProof/>
          <w:szCs w:val="22"/>
        </w:rPr>
      </w:pPr>
    </w:p>
    <w:p w:rsidR="00812D16" w:rsidRPr="00180EC2" w:rsidRDefault="00812D16" w:rsidP="00635AC7">
      <w:pPr>
        <w:suppressAutoHyphens/>
        <w:ind w:left="567" w:hanging="567"/>
        <w:rPr>
          <w:b/>
          <w:noProof/>
          <w:szCs w:val="22"/>
        </w:rPr>
      </w:pPr>
      <w:r w:rsidRPr="00180EC2">
        <w:rPr>
          <w:b/>
          <w:noProof/>
          <w:szCs w:val="22"/>
        </w:rPr>
        <w:t>6.</w:t>
      </w:r>
      <w:r w:rsidRPr="00180EC2">
        <w:rPr>
          <w:b/>
          <w:noProof/>
          <w:szCs w:val="22"/>
        </w:rPr>
        <w:tab/>
        <w:t>PHARMACEUTICAL PARTICULARS</w:t>
      </w:r>
    </w:p>
    <w:p w:rsidR="00812D16" w:rsidRPr="00180EC2" w:rsidRDefault="00812D16" w:rsidP="006B4557">
      <w:pPr>
        <w:rPr>
          <w:noProof/>
          <w:szCs w:val="22"/>
        </w:rPr>
      </w:pPr>
    </w:p>
    <w:p w:rsidR="00812D16" w:rsidRPr="00180EC2" w:rsidRDefault="00812D16" w:rsidP="006B4557">
      <w:pPr>
        <w:ind w:left="567" w:hanging="567"/>
        <w:outlineLvl w:val="0"/>
        <w:rPr>
          <w:noProof/>
          <w:szCs w:val="22"/>
        </w:rPr>
      </w:pPr>
      <w:r w:rsidRPr="00180EC2">
        <w:rPr>
          <w:b/>
          <w:noProof/>
          <w:szCs w:val="22"/>
        </w:rPr>
        <w:lastRenderedPageBreak/>
        <w:t>6.1</w:t>
      </w:r>
      <w:r w:rsidRPr="00180EC2">
        <w:rPr>
          <w:b/>
          <w:noProof/>
          <w:szCs w:val="22"/>
        </w:rPr>
        <w:tab/>
        <w:t>List of excipients</w:t>
      </w:r>
    </w:p>
    <w:p w:rsidR="00812D16" w:rsidRPr="00180EC2" w:rsidRDefault="00812D16" w:rsidP="006B4557">
      <w:pPr>
        <w:rPr>
          <w:i/>
          <w:noProof/>
          <w:szCs w:val="22"/>
        </w:rPr>
      </w:pPr>
    </w:p>
    <w:p w:rsidR="00812D16" w:rsidRPr="00180EC2" w:rsidRDefault="006E78D4" w:rsidP="006B4557">
      <w:pPr>
        <w:rPr>
          <w:noProof/>
          <w:szCs w:val="22"/>
        </w:rPr>
      </w:pPr>
      <w:r w:rsidRPr="00180EC2">
        <w:rPr>
          <w:noProof/>
          <w:szCs w:val="22"/>
        </w:rPr>
        <w:t>Tablet content</w:t>
      </w:r>
      <w:r w:rsidR="00301D5E" w:rsidRPr="00180EC2">
        <w:rPr>
          <w:noProof/>
          <w:szCs w:val="22"/>
        </w:rPr>
        <w:t xml:space="preserve">: </w:t>
      </w:r>
      <w:r w:rsidRPr="00180EC2">
        <w:rPr>
          <w:noProof/>
          <w:szCs w:val="22"/>
        </w:rPr>
        <w:t>Maize starch</w:t>
      </w:r>
    </w:p>
    <w:p w:rsidR="006E78D4" w:rsidRPr="00180EC2" w:rsidRDefault="006E78D4" w:rsidP="006B4557">
      <w:pPr>
        <w:rPr>
          <w:noProof/>
          <w:szCs w:val="22"/>
        </w:rPr>
      </w:pPr>
      <w:r w:rsidRPr="00180EC2">
        <w:rPr>
          <w:noProof/>
          <w:szCs w:val="22"/>
        </w:rPr>
        <w:t>Microcr</w:t>
      </w:r>
      <w:r w:rsidR="00301D5E" w:rsidRPr="00180EC2">
        <w:rPr>
          <w:noProof/>
          <w:szCs w:val="22"/>
        </w:rPr>
        <w:t>y</w:t>
      </w:r>
      <w:r w:rsidRPr="00180EC2">
        <w:rPr>
          <w:noProof/>
          <w:szCs w:val="22"/>
        </w:rPr>
        <w:t>stalline cellulose</w:t>
      </w:r>
    </w:p>
    <w:p w:rsidR="006E78D4" w:rsidRPr="00180EC2" w:rsidRDefault="006E78D4" w:rsidP="006B4557">
      <w:pPr>
        <w:rPr>
          <w:noProof/>
          <w:szCs w:val="22"/>
        </w:rPr>
      </w:pPr>
      <w:r w:rsidRPr="00180EC2">
        <w:rPr>
          <w:noProof/>
          <w:szCs w:val="22"/>
        </w:rPr>
        <w:t>Povidone K30</w:t>
      </w:r>
    </w:p>
    <w:p w:rsidR="006E78D4" w:rsidRPr="00180EC2" w:rsidRDefault="006E78D4" w:rsidP="006B4557">
      <w:pPr>
        <w:rPr>
          <w:noProof/>
          <w:szCs w:val="22"/>
        </w:rPr>
      </w:pPr>
      <w:r w:rsidRPr="00180EC2">
        <w:rPr>
          <w:noProof/>
          <w:szCs w:val="22"/>
        </w:rPr>
        <w:t>Isopropyl alcohol</w:t>
      </w:r>
    </w:p>
    <w:p w:rsidR="006E78D4" w:rsidRPr="00180EC2" w:rsidRDefault="006E78D4" w:rsidP="006B4557">
      <w:pPr>
        <w:rPr>
          <w:noProof/>
          <w:szCs w:val="22"/>
        </w:rPr>
      </w:pPr>
      <w:r w:rsidRPr="00180EC2">
        <w:rPr>
          <w:noProof/>
          <w:szCs w:val="22"/>
        </w:rPr>
        <w:t>Crospovidone</w:t>
      </w:r>
    </w:p>
    <w:p w:rsidR="006E78D4" w:rsidRPr="00180EC2" w:rsidRDefault="006E78D4" w:rsidP="006B4557">
      <w:pPr>
        <w:rPr>
          <w:noProof/>
          <w:szCs w:val="22"/>
        </w:rPr>
      </w:pPr>
      <w:r w:rsidRPr="00180EC2">
        <w:rPr>
          <w:noProof/>
          <w:szCs w:val="22"/>
        </w:rPr>
        <w:t>Talc</w:t>
      </w:r>
    </w:p>
    <w:p w:rsidR="006E78D4" w:rsidRPr="00180EC2" w:rsidRDefault="006E78D4" w:rsidP="006B4557">
      <w:pPr>
        <w:rPr>
          <w:noProof/>
          <w:szCs w:val="22"/>
        </w:rPr>
      </w:pPr>
      <w:r w:rsidRPr="00180EC2">
        <w:rPr>
          <w:noProof/>
          <w:szCs w:val="22"/>
        </w:rPr>
        <w:t>Colloidal anhydrous silica</w:t>
      </w:r>
    </w:p>
    <w:p w:rsidR="006E78D4" w:rsidRPr="00180EC2" w:rsidRDefault="006E78D4" w:rsidP="006B4557">
      <w:pPr>
        <w:rPr>
          <w:noProof/>
          <w:szCs w:val="22"/>
        </w:rPr>
      </w:pPr>
      <w:r w:rsidRPr="00180EC2">
        <w:rPr>
          <w:noProof/>
          <w:szCs w:val="22"/>
        </w:rPr>
        <w:t>Magnesium stearate</w:t>
      </w:r>
    </w:p>
    <w:p w:rsidR="006E78D4" w:rsidRPr="00180EC2" w:rsidRDefault="006E78D4" w:rsidP="006B4557">
      <w:pPr>
        <w:rPr>
          <w:noProof/>
          <w:szCs w:val="22"/>
        </w:rPr>
      </w:pPr>
      <w:r w:rsidRPr="00180EC2">
        <w:rPr>
          <w:noProof/>
          <w:szCs w:val="22"/>
        </w:rPr>
        <w:t>Sodium lauryl sulfate</w:t>
      </w:r>
    </w:p>
    <w:p w:rsidR="00812D16" w:rsidRPr="00180EC2" w:rsidRDefault="00812D16" w:rsidP="006B4557">
      <w:pPr>
        <w:rPr>
          <w:noProof/>
          <w:szCs w:val="22"/>
        </w:rPr>
      </w:pPr>
    </w:p>
    <w:p w:rsidR="00812D16" w:rsidRPr="00180EC2" w:rsidRDefault="00812D16" w:rsidP="006B4557">
      <w:pPr>
        <w:ind w:left="567" w:hanging="567"/>
        <w:outlineLvl w:val="0"/>
        <w:rPr>
          <w:noProof/>
          <w:szCs w:val="22"/>
        </w:rPr>
      </w:pPr>
      <w:r w:rsidRPr="00180EC2">
        <w:rPr>
          <w:b/>
          <w:noProof/>
          <w:szCs w:val="22"/>
        </w:rPr>
        <w:t>6.2</w:t>
      </w:r>
      <w:r w:rsidRPr="00180EC2">
        <w:rPr>
          <w:b/>
          <w:noProof/>
          <w:szCs w:val="22"/>
        </w:rPr>
        <w:tab/>
        <w:t>Incompatibilities</w:t>
      </w:r>
    </w:p>
    <w:p w:rsidR="00812D16" w:rsidRPr="00180EC2" w:rsidRDefault="00812D16" w:rsidP="006B4557">
      <w:pPr>
        <w:rPr>
          <w:noProof/>
          <w:szCs w:val="22"/>
        </w:rPr>
      </w:pPr>
    </w:p>
    <w:p w:rsidR="00812D16" w:rsidRPr="00180EC2" w:rsidRDefault="00812D16" w:rsidP="006E78D4">
      <w:pPr>
        <w:rPr>
          <w:noProof/>
          <w:szCs w:val="22"/>
        </w:rPr>
      </w:pPr>
      <w:r w:rsidRPr="00180EC2">
        <w:rPr>
          <w:noProof/>
          <w:szCs w:val="22"/>
        </w:rPr>
        <w:t>Not applicable.</w:t>
      </w:r>
    </w:p>
    <w:p w:rsidR="00812D16" w:rsidRPr="00180EC2" w:rsidRDefault="00812D16" w:rsidP="006B4557">
      <w:pPr>
        <w:rPr>
          <w:noProof/>
          <w:szCs w:val="22"/>
        </w:rPr>
      </w:pPr>
    </w:p>
    <w:p w:rsidR="00812D16" w:rsidRPr="00180EC2" w:rsidRDefault="00812D16" w:rsidP="006B4557">
      <w:pPr>
        <w:ind w:left="567" w:hanging="567"/>
        <w:outlineLvl w:val="0"/>
        <w:rPr>
          <w:noProof/>
          <w:szCs w:val="22"/>
        </w:rPr>
      </w:pPr>
      <w:r w:rsidRPr="00180EC2">
        <w:rPr>
          <w:b/>
          <w:noProof/>
          <w:szCs w:val="22"/>
        </w:rPr>
        <w:t>6.3</w:t>
      </w:r>
      <w:r w:rsidRPr="00180EC2">
        <w:rPr>
          <w:b/>
          <w:noProof/>
          <w:szCs w:val="22"/>
        </w:rPr>
        <w:tab/>
        <w:t>Shelf life</w:t>
      </w:r>
    </w:p>
    <w:p w:rsidR="00812D16" w:rsidRPr="00180EC2" w:rsidRDefault="00812D16" w:rsidP="006B4557">
      <w:pPr>
        <w:rPr>
          <w:noProof/>
          <w:szCs w:val="22"/>
        </w:rPr>
      </w:pPr>
    </w:p>
    <w:p w:rsidR="00812D16" w:rsidRPr="00180EC2" w:rsidRDefault="00301D5E" w:rsidP="006B4557">
      <w:pPr>
        <w:rPr>
          <w:noProof/>
          <w:szCs w:val="22"/>
        </w:rPr>
      </w:pPr>
      <w:r w:rsidRPr="00180EC2">
        <w:rPr>
          <w:noProof/>
          <w:szCs w:val="22"/>
        </w:rPr>
        <w:t xml:space="preserve">2 </w:t>
      </w:r>
      <w:r w:rsidR="006E78D4" w:rsidRPr="00180EC2">
        <w:rPr>
          <w:noProof/>
          <w:szCs w:val="22"/>
        </w:rPr>
        <w:t>years</w:t>
      </w:r>
    </w:p>
    <w:p w:rsidR="00812D16" w:rsidRPr="00180EC2" w:rsidRDefault="00812D16" w:rsidP="006B4557">
      <w:pPr>
        <w:rPr>
          <w:noProof/>
          <w:szCs w:val="22"/>
        </w:rPr>
      </w:pPr>
    </w:p>
    <w:p w:rsidR="00812D16" w:rsidRPr="00180EC2" w:rsidRDefault="00812D16" w:rsidP="006B4557">
      <w:pPr>
        <w:ind w:left="567" w:hanging="567"/>
        <w:outlineLvl w:val="0"/>
        <w:rPr>
          <w:b/>
          <w:noProof/>
          <w:szCs w:val="22"/>
        </w:rPr>
      </w:pPr>
      <w:r w:rsidRPr="00180EC2">
        <w:rPr>
          <w:b/>
          <w:noProof/>
          <w:szCs w:val="22"/>
        </w:rPr>
        <w:t>6.4</w:t>
      </w:r>
      <w:r w:rsidRPr="00180EC2">
        <w:rPr>
          <w:b/>
          <w:noProof/>
          <w:szCs w:val="22"/>
        </w:rPr>
        <w:tab/>
        <w:t>Special precautions for storage</w:t>
      </w:r>
    </w:p>
    <w:p w:rsidR="005108A3" w:rsidRPr="00180EC2" w:rsidRDefault="005108A3" w:rsidP="006B4557">
      <w:pPr>
        <w:ind w:left="567" w:hanging="567"/>
        <w:outlineLvl w:val="0"/>
        <w:rPr>
          <w:noProof/>
          <w:szCs w:val="22"/>
        </w:rPr>
      </w:pPr>
    </w:p>
    <w:p w:rsidR="00812D16" w:rsidRPr="00180EC2" w:rsidRDefault="006E78D4" w:rsidP="006B4557">
      <w:pPr>
        <w:rPr>
          <w:i/>
          <w:noProof/>
          <w:szCs w:val="22"/>
        </w:rPr>
      </w:pPr>
      <w:r w:rsidRPr="00180EC2">
        <w:rPr>
          <w:noProof/>
          <w:szCs w:val="22"/>
        </w:rPr>
        <w:t>Do not store above 30 °C</w:t>
      </w:r>
    </w:p>
    <w:p w:rsidR="00812D16" w:rsidRPr="00180EC2" w:rsidRDefault="00812D16" w:rsidP="006B4557">
      <w:pPr>
        <w:rPr>
          <w:noProof/>
          <w:szCs w:val="22"/>
        </w:rPr>
      </w:pPr>
    </w:p>
    <w:p w:rsidR="00812D16" w:rsidRPr="00180EC2" w:rsidRDefault="00F9016F" w:rsidP="006B4557">
      <w:pPr>
        <w:spacing w:line="240" w:lineRule="auto"/>
        <w:outlineLvl w:val="0"/>
        <w:rPr>
          <w:b/>
          <w:noProof/>
          <w:szCs w:val="22"/>
        </w:rPr>
      </w:pPr>
      <w:r w:rsidRPr="00180EC2">
        <w:rPr>
          <w:b/>
          <w:noProof/>
          <w:szCs w:val="22"/>
        </w:rPr>
        <w:t>6.5</w:t>
      </w:r>
      <w:r w:rsidRPr="00180EC2">
        <w:rPr>
          <w:b/>
          <w:noProof/>
          <w:szCs w:val="22"/>
        </w:rPr>
        <w:tab/>
      </w:r>
      <w:r w:rsidR="00812D16" w:rsidRPr="00180EC2">
        <w:rPr>
          <w:b/>
          <w:noProof/>
          <w:szCs w:val="22"/>
        </w:rPr>
        <w:t xml:space="preserve">Nature and contents of container </w:t>
      </w:r>
    </w:p>
    <w:p w:rsidR="00812D16" w:rsidRPr="00180EC2" w:rsidRDefault="00812D16" w:rsidP="006B4557">
      <w:pPr>
        <w:outlineLvl w:val="0"/>
        <w:rPr>
          <w:b/>
          <w:noProof/>
          <w:szCs w:val="22"/>
        </w:rPr>
      </w:pPr>
    </w:p>
    <w:p w:rsidR="00812D16" w:rsidRPr="00140779" w:rsidRDefault="006E78D4" w:rsidP="006B4557">
      <w:pPr>
        <w:rPr>
          <w:rFonts w:eastAsia="SimSun"/>
          <w:szCs w:val="22"/>
          <w:lang w:eastAsia="fr-BE"/>
        </w:rPr>
      </w:pPr>
      <w:r w:rsidRPr="00140779">
        <w:rPr>
          <w:rFonts w:eastAsia="SimSun"/>
          <w:szCs w:val="22"/>
          <w:lang w:eastAsia="fr-BE"/>
        </w:rPr>
        <w:t>Clear or opaque PVC-PVdC/aluminium blisters</w:t>
      </w:r>
    </w:p>
    <w:p w:rsidR="006E78D4" w:rsidRPr="00180EC2" w:rsidRDefault="006E78D4" w:rsidP="006B4557">
      <w:pPr>
        <w:rPr>
          <w:noProof/>
          <w:szCs w:val="22"/>
        </w:rPr>
      </w:pPr>
    </w:p>
    <w:p w:rsidR="00812D16" w:rsidRPr="00180EC2" w:rsidRDefault="00812D16" w:rsidP="006E78D4">
      <w:pPr>
        <w:ind w:left="567" w:hanging="567"/>
        <w:outlineLvl w:val="0"/>
        <w:rPr>
          <w:noProof/>
          <w:szCs w:val="22"/>
        </w:rPr>
      </w:pPr>
      <w:bookmarkStart w:id="1" w:name="OLE_LINK1"/>
      <w:r w:rsidRPr="00180EC2">
        <w:rPr>
          <w:b/>
          <w:noProof/>
          <w:szCs w:val="22"/>
        </w:rPr>
        <w:t>6.6</w:t>
      </w:r>
      <w:r w:rsidRPr="00180EC2">
        <w:rPr>
          <w:b/>
          <w:noProof/>
          <w:szCs w:val="22"/>
        </w:rPr>
        <w:tab/>
        <w:t>Special precautions for disposal and other handling</w:t>
      </w:r>
    </w:p>
    <w:p w:rsidR="00560EDA" w:rsidRPr="00180EC2" w:rsidRDefault="00560EDA" w:rsidP="006B4557">
      <w:pPr>
        <w:rPr>
          <w:i/>
          <w:noProof/>
          <w:szCs w:val="22"/>
        </w:rPr>
      </w:pPr>
    </w:p>
    <w:p w:rsidR="00812D16" w:rsidRPr="00180EC2" w:rsidRDefault="00812D16" w:rsidP="006E78D4">
      <w:r w:rsidRPr="00180EC2">
        <w:t xml:space="preserve">No special requirements </w:t>
      </w:r>
    </w:p>
    <w:bookmarkEnd w:id="1"/>
    <w:p w:rsidR="00812D16" w:rsidRPr="00180EC2" w:rsidRDefault="00812D16" w:rsidP="006B4557"/>
    <w:p w:rsidR="00812D16" w:rsidRPr="00180EC2" w:rsidRDefault="00812D16" w:rsidP="006B4557">
      <w:pPr>
        <w:rPr>
          <w:noProof/>
          <w:szCs w:val="22"/>
        </w:rPr>
      </w:pPr>
    </w:p>
    <w:p w:rsidR="00812D16" w:rsidRPr="00180EC2" w:rsidRDefault="00812D16" w:rsidP="006B4557">
      <w:pPr>
        <w:ind w:left="567" w:hanging="567"/>
        <w:rPr>
          <w:noProof/>
          <w:szCs w:val="22"/>
        </w:rPr>
      </w:pPr>
      <w:r w:rsidRPr="00180EC2">
        <w:rPr>
          <w:b/>
          <w:noProof/>
          <w:szCs w:val="22"/>
        </w:rPr>
        <w:t>7.</w:t>
      </w:r>
      <w:r w:rsidRPr="00180EC2">
        <w:rPr>
          <w:b/>
          <w:noProof/>
          <w:szCs w:val="22"/>
        </w:rPr>
        <w:tab/>
        <w:t>MARKETING AUTHORISATION HOLDER</w:t>
      </w:r>
    </w:p>
    <w:p w:rsidR="00812D16" w:rsidRPr="00180EC2" w:rsidRDefault="00812D16" w:rsidP="006B4557">
      <w:pPr>
        <w:rPr>
          <w:noProof/>
          <w:szCs w:val="22"/>
        </w:rPr>
      </w:pPr>
    </w:p>
    <w:p w:rsidR="006E78D4" w:rsidRPr="00140779" w:rsidRDefault="006E78D4" w:rsidP="006E78D4">
      <w:pPr>
        <w:widowControl w:val="0"/>
        <w:tabs>
          <w:tab w:val="left" w:pos="142"/>
        </w:tabs>
        <w:jc w:val="both"/>
        <w:rPr>
          <w:snapToGrid w:val="0"/>
          <w:szCs w:val="24"/>
        </w:rPr>
      </w:pPr>
      <w:r w:rsidRPr="00140779">
        <w:rPr>
          <w:snapToGrid w:val="0"/>
          <w:szCs w:val="24"/>
        </w:rPr>
        <w:t>Exphar sa</w:t>
      </w:r>
    </w:p>
    <w:p w:rsidR="00153E5F" w:rsidRPr="00140779" w:rsidRDefault="00153E5F" w:rsidP="00153E5F">
      <w:pPr>
        <w:autoSpaceDE w:val="0"/>
        <w:autoSpaceDN w:val="0"/>
        <w:adjustRightInd w:val="0"/>
        <w:spacing w:line="240" w:lineRule="auto"/>
        <w:rPr>
          <w:noProof/>
          <w:szCs w:val="22"/>
        </w:rPr>
      </w:pPr>
      <w:r w:rsidRPr="00140779">
        <w:rPr>
          <w:noProof/>
          <w:szCs w:val="22"/>
        </w:rPr>
        <w:t>Avenue Thomas Edison – Zoning Industriel Sud – Zone 2, 105</w:t>
      </w:r>
    </w:p>
    <w:p w:rsidR="00153E5F" w:rsidRPr="00180EC2" w:rsidRDefault="00153E5F" w:rsidP="00153E5F">
      <w:pPr>
        <w:autoSpaceDE w:val="0"/>
        <w:autoSpaceDN w:val="0"/>
        <w:adjustRightInd w:val="0"/>
        <w:spacing w:line="240" w:lineRule="auto"/>
        <w:rPr>
          <w:noProof/>
          <w:szCs w:val="22"/>
        </w:rPr>
      </w:pPr>
      <w:r w:rsidRPr="00180EC2">
        <w:rPr>
          <w:noProof/>
          <w:szCs w:val="22"/>
        </w:rPr>
        <w:t>1402 Thines</w:t>
      </w:r>
    </w:p>
    <w:p w:rsidR="00153E5F" w:rsidRPr="00180EC2" w:rsidRDefault="00967D6C" w:rsidP="00153E5F">
      <w:pPr>
        <w:autoSpaceDE w:val="0"/>
        <w:autoSpaceDN w:val="0"/>
        <w:adjustRightInd w:val="0"/>
        <w:spacing w:line="240" w:lineRule="auto"/>
        <w:rPr>
          <w:noProof/>
          <w:szCs w:val="22"/>
        </w:rPr>
      </w:pPr>
      <w:r w:rsidRPr="00180EC2">
        <w:rPr>
          <w:noProof/>
          <w:szCs w:val="22"/>
        </w:rPr>
        <w:t>Belgium</w:t>
      </w:r>
    </w:p>
    <w:p w:rsidR="00153E5F" w:rsidRPr="00180EC2" w:rsidRDefault="00153E5F" w:rsidP="00153E5F">
      <w:pPr>
        <w:autoSpaceDE w:val="0"/>
        <w:autoSpaceDN w:val="0"/>
        <w:adjustRightInd w:val="0"/>
        <w:spacing w:line="240" w:lineRule="auto"/>
        <w:rPr>
          <w:noProof/>
          <w:szCs w:val="22"/>
        </w:rPr>
      </w:pPr>
      <w:r w:rsidRPr="00180EC2">
        <w:rPr>
          <w:noProof/>
          <w:szCs w:val="22"/>
        </w:rPr>
        <w:t>Phone</w:t>
      </w:r>
      <w:r w:rsidRPr="00180EC2">
        <w:rPr>
          <w:noProof/>
          <w:szCs w:val="22"/>
        </w:rPr>
        <w:tab/>
        <w:t>+32.067.68.84.00</w:t>
      </w:r>
    </w:p>
    <w:p w:rsidR="00153E5F" w:rsidRPr="00180EC2" w:rsidRDefault="00153E5F" w:rsidP="00153E5F">
      <w:pPr>
        <w:autoSpaceDE w:val="0"/>
        <w:autoSpaceDN w:val="0"/>
        <w:adjustRightInd w:val="0"/>
        <w:spacing w:line="240" w:lineRule="auto"/>
        <w:rPr>
          <w:noProof/>
          <w:szCs w:val="22"/>
        </w:rPr>
      </w:pPr>
      <w:r w:rsidRPr="00180EC2">
        <w:rPr>
          <w:noProof/>
          <w:szCs w:val="22"/>
        </w:rPr>
        <w:t>Fax</w:t>
      </w:r>
      <w:r w:rsidRPr="00180EC2">
        <w:rPr>
          <w:noProof/>
          <w:szCs w:val="22"/>
        </w:rPr>
        <w:tab/>
        <w:t>+32.067.68.84.19</w:t>
      </w:r>
    </w:p>
    <w:p w:rsidR="00812D16" w:rsidRPr="00140779" w:rsidRDefault="00812D16" w:rsidP="00153E5F">
      <w:pPr>
        <w:widowControl w:val="0"/>
        <w:tabs>
          <w:tab w:val="left" w:pos="142"/>
        </w:tabs>
        <w:jc w:val="both"/>
        <w:rPr>
          <w:noProof/>
          <w:szCs w:val="22"/>
        </w:rPr>
      </w:pPr>
    </w:p>
    <w:p w:rsidR="00812D16" w:rsidRPr="00180EC2" w:rsidRDefault="006E78D4" w:rsidP="006B4557">
      <w:pPr>
        <w:rPr>
          <w:b/>
          <w:noProof/>
          <w:szCs w:val="22"/>
        </w:rPr>
      </w:pPr>
      <w:r w:rsidRPr="00180EC2">
        <w:rPr>
          <w:b/>
          <w:noProof/>
          <w:szCs w:val="22"/>
        </w:rPr>
        <w:t xml:space="preserve">Manufacturer </w:t>
      </w:r>
    </w:p>
    <w:p w:rsidR="00E94B4B" w:rsidRPr="00180EC2" w:rsidRDefault="00EF345A" w:rsidP="006B4557">
      <w:pPr>
        <w:rPr>
          <w:noProof/>
          <w:szCs w:val="22"/>
        </w:rPr>
      </w:pPr>
      <w:r w:rsidRPr="00180EC2">
        <w:rPr>
          <w:noProof/>
          <w:szCs w:val="22"/>
        </w:rPr>
        <w:t>Gracure Private Limited</w:t>
      </w:r>
    </w:p>
    <w:p w:rsidR="006E78D4" w:rsidRPr="00180EC2" w:rsidRDefault="006E78D4" w:rsidP="006E78D4">
      <w:pPr>
        <w:pStyle w:val="BodyText2"/>
        <w:spacing w:after="0" w:line="240" w:lineRule="auto"/>
        <w:rPr>
          <w:sz w:val="24"/>
          <w:szCs w:val="24"/>
        </w:rPr>
      </w:pPr>
      <w:r w:rsidRPr="00180EC2">
        <w:rPr>
          <w:sz w:val="24"/>
          <w:szCs w:val="24"/>
        </w:rPr>
        <w:t>E-1105, Industrial Area, Phase-III,</w:t>
      </w:r>
    </w:p>
    <w:p w:rsidR="006E78D4" w:rsidRPr="00180EC2" w:rsidRDefault="006E78D4" w:rsidP="006E78D4">
      <w:pPr>
        <w:pStyle w:val="BodyText2"/>
        <w:spacing w:after="0" w:line="240" w:lineRule="auto"/>
        <w:rPr>
          <w:sz w:val="24"/>
          <w:szCs w:val="24"/>
        </w:rPr>
      </w:pPr>
      <w:r w:rsidRPr="00140779">
        <w:rPr>
          <w:sz w:val="24"/>
          <w:szCs w:val="24"/>
        </w:rPr>
        <w:t xml:space="preserve">Bhiwadi, Dist. Alwar (Raj.) </w:t>
      </w:r>
      <w:r w:rsidR="00D73575" w:rsidRPr="00140779">
        <w:rPr>
          <w:sz w:val="24"/>
          <w:szCs w:val="24"/>
        </w:rPr>
        <w:t>IND</w:t>
      </w:r>
      <w:r w:rsidR="00D73575">
        <w:rPr>
          <w:sz w:val="24"/>
          <w:szCs w:val="24"/>
        </w:rPr>
        <w:t>IA</w:t>
      </w:r>
    </w:p>
    <w:p w:rsidR="006E78D4" w:rsidRPr="00140779" w:rsidRDefault="006E78D4" w:rsidP="006E78D4">
      <w:pPr>
        <w:widowControl w:val="0"/>
        <w:spacing w:line="240" w:lineRule="auto"/>
        <w:rPr>
          <w:snapToGrid w:val="0"/>
        </w:rPr>
      </w:pPr>
      <w:r w:rsidRPr="00140779">
        <w:rPr>
          <w:snapToGrid w:val="0"/>
        </w:rPr>
        <w:t>Phone:</w:t>
      </w:r>
      <w:r w:rsidRPr="00140779">
        <w:rPr>
          <w:snapToGrid w:val="0"/>
        </w:rPr>
        <w:tab/>
        <w:t>91+11+25920748</w:t>
      </w:r>
    </w:p>
    <w:p w:rsidR="006E78D4" w:rsidRPr="00140779" w:rsidRDefault="006E78D4" w:rsidP="006E78D4">
      <w:pPr>
        <w:widowControl w:val="0"/>
        <w:spacing w:line="240" w:lineRule="auto"/>
        <w:rPr>
          <w:snapToGrid w:val="0"/>
        </w:rPr>
      </w:pPr>
      <w:r w:rsidRPr="00140779">
        <w:rPr>
          <w:snapToGrid w:val="0"/>
        </w:rPr>
        <w:t xml:space="preserve">Fax: </w:t>
      </w:r>
      <w:r w:rsidRPr="00140779">
        <w:rPr>
          <w:snapToGrid w:val="0"/>
        </w:rPr>
        <w:tab/>
        <w:t>91+11+25920747</w:t>
      </w:r>
    </w:p>
    <w:p w:rsidR="006E78D4" w:rsidRPr="00180EC2" w:rsidRDefault="006E78D4" w:rsidP="006B4557">
      <w:pPr>
        <w:rPr>
          <w:noProof/>
          <w:szCs w:val="22"/>
        </w:rPr>
      </w:pPr>
    </w:p>
    <w:p w:rsidR="006E78D4" w:rsidRPr="00180EC2" w:rsidRDefault="006E78D4" w:rsidP="006B4557">
      <w:pPr>
        <w:rPr>
          <w:noProof/>
          <w:szCs w:val="22"/>
        </w:rPr>
      </w:pPr>
    </w:p>
    <w:p w:rsidR="00812D16" w:rsidRPr="00180EC2" w:rsidRDefault="00812D16">
      <w:pPr>
        <w:ind w:left="567" w:hanging="567"/>
        <w:rPr>
          <w:b/>
          <w:noProof/>
          <w:szCs w:val="22"/>
        </w:rPr>
      </w:pPr>
      <w:r w:rsidRPr="00180EC2">
        <w:rPr>
          <w:b/>
          <w:noProof/>
          <w:szCs w:val="22"/>
        </w:rPr>
        <w:t>8.</w:t>
      </w:r>
      <w:r w:rsidRPr="00180EC2">
        <w:rPr>
          <w:b/>
          <w:noProof/>
          <w:szCs w:val="22"/>
        </w:rPr>
        <w:tab/>
        <w:t>DATE OF REVISION OF THE TEXT</w:t>
      </w:r>
    </w:p>
    <w:p w:rsidR="00812D16" w:rsidRPr="00180EC2" w:rsidRDefault="00812D16" w:rsidP="006B4557">
      <w:pPr>
        <w:rPr>
          <w:noProof/>
          <w:szCs w:val="22"/>
        </w:rPr>
      </w:pPr>
    </w:p>
    <w:p w:rsidR="000166C1" w:rsidRPr="00180EC2" w:rsidRDefault="00FA7C96">
      <w:pPr>
        <w:outlineLvl w:val="0"/>
        <w:rPr>
          <w:b/>
          <w:noProof/>
          <w:szCs w:val="22"/>
        </w:rPr>
      </w:pPr>
      <w:r>
        <w:rPr>
          <w:noProof/>
          <w:szCs w:val="22"/>
        </w:rPr>
        <w:t>January 2019</w:t>
      </w:r>
    </w:p>
    <w:sectPr w:rsidR="000166C1" w:rsidRPr="00180EC2" w:rsidSect="00A25442">
      <w:footerReference w:type="default" r:id="rId9"/>
      <w:footerReference w:type="first" r:id="rId10"/>
      <w:endnotePr>
        <w:numFmt w:val="decimal"/>
      </w:endnotePr>
      <w:pgSz w:w="11907" w:h="16840" w:code="9"/>
      <w:pgMar w:top="1134" w:right="1134" w:bottom="1134" w:left="1134" w:header="737" w:footer="737"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59CA" w:rsidRDefault="003759CA">
      <w:r>
        <w:separator/>
      </w:r>
    </w:p>
  </w:endnote>
  <w:endnote w:type="continuationSeparator" w:id="0">
    <w:p w:rsidR="003759CA" w:rsidRDefault="003759CA">
      <w:r>
        <w:continuationSeparator/>
      </w:r>
    </w:p>
  </w:endnote>
  <w:endnote w:type="continuationNotice" w:id="1">
    <w:p w:rsidR="003759CA" w:rsidRDefault="003759C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font>
  <w:font w:name="T4">
    <w:altName w:val="MS Gothic"/>
    <w:panose1 w:val="00000000000000000000"/>
    <w:charset w:val="80"/>
    <w:family w:val="swiss"/>
    <w:notTrueType/>
    <w:pitch w:val="default"/>
    <w:sig w:usb0="00000000" w:usb1="08070000" w:usb2="00000010" w:usb3="00000000" w:csb0="00020000" w:csb1="00000000"/>
  </w:font>
  <w:font w:name="T5">
    <w:altName w:val="MS Gothic"/>
    <w:panose1 w:val="00000000000000000000"/>
    <w:charset w:val="80"/>
    <w:family w:val="swiss"/>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148" w:rsidRDefault="00DA3148">
    <w:pPr>
      <w:pStyle w:val="Footer"/>
      <w:tabs>
        <w:tab w:val="right" w:pos="8931"/>
      </w:tabs>
      <w:ind w:right="96"/>
      <w:jc w:val="center"/>
    </w:pPr>
    <w:r>
      <w:fldChar w:fldCharType="begin"/>
    </w:r>
    <w:r>
      <w:instrText xml:space="preserve"> EQ </w:instrText>
    </w:r>
    <w:r>
      <w:fldChar w:fldCharType="end"/>
    </w:r>
    <w:r>
      <w:rPr>
        <w:rStyle w:val="PageNumber"/>
        <w:rFonts w:cs="Arial"/>
      </w:rPr>
      <w:fldChar w:fldCharType="begin"/>
    </w:r>
    <w:r>
      <w:rPr>
        <w:rStyle w:val="PageNumber"/>
        <w:rFonts w:cs="Arial"/>
      </w:rPr>
      <w:instrText xml:space="preserve">PAGE  </w:instrText>
    </w:r>
    <w:r>
      <w:rPr>
        <w:rStyle w:val="PageNumber"/>
        <w:rFonts w:cs="Arial"/>
      </w:rPr>
      <w:fldChar w:fldCharType="separate"/>
    </w:r>
    <w:r w:rsidR="00655CD2">
      <w:rPr>
        <w:rStyle w:val="PageNumber"/>
        <w:rFonts w:cs="Arial"/>
      </w:rPr>
      <w:t>15</w:t>
    </w:r>
    <w:r>
      <w:rPr>
        <w:rStyle w:val="PageNumber"/>
        <w:rFonts w:cs="Aria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148" w:rsidRDefault="00DA3148">
    <w:pPr>
      <w:pStyle w:val="Footer"/>
      <w:tabs>
        <w:tab w:val="right" w:pos="8931"/>
      </w:tabs>
      <w:ind w:right="96"/>
      <w:jc w:val="center"/>
    </w:pPr>
    <w:r>
      <w:fldChar w:fldCharType="begin"/>
    </w:r>
    <w:r>
      <w:instrText xml:space="preserve"> EQ </w:instrText>
    </w:r>
    <w:r>
      <w:fldChar w:fldCharType="end"/>
    </w:r>
    <w:r>
      <w:rPr>
        <w:rStyle w:val="PageNumber"/>
        <w:rFonts w:cs="Arial"/>
      </w:rPr>
      <w:fldChar w:fldCharType="begin"/>
    </w:r>
    <w:r>
      <w:rPr>
        <w:rStyle w:val="PageNumber"/>
        <w:rFonts w:cs="Arial"/>
      </w:rPr>
      <w:instrText xml:space="preserve">PAGE  </w:instrText>
    </w:r>
    <w:r>
      <w:rPr>
        <w:rStyle w:val="PageNumber"/>
        <w:rFonts w:cs="Arial"/>
      </w:rPr>
      <w:fldChar w:fldCharType="separate"/>
    </w:r>
    <w:r w:rsidR="00655CD2">
      <w:rPr>
        <w:rStyle w:val="PageNumber"/>
        <w:rFonts w:cs="Arial"/>
      </w:rPr>
      <w:t>1</w:t>
    </w:r>
    <w:r>
      <w:rPr>
        <w:rStyle w:val="PageNumber"/>
        <w:rFonts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59CA" w:rsidRDefault="003759CA">
      <w:r>
        <w:separator/>
      </w:r>
    </w:p>
  </w:footnote>
  <w:footnote w:type="continuationSeparator" w:id="0">
    <w:p w:rsidR="003759CA" w:rsidRDefault="003759CA">
      <w:r>
        <w:continuationSeparator/>
      </w:r>
    </w:p>
  </w:footnote>
  <w:footnote w:type="continuationNotice" w:id="1">
    <w:p w:rsidR="003759CA" w:rsidRDefault="003759CA">
      <w:pPr>
        <w:spacing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900ED"/>
    <w:multiLevelType w:val="hybridMultilevel"/>
    <w:tmpl w:val="3D08C9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4590322"/>
    <w:multiLevelType w:val="singleLevel"/>
    <w:tmpl w:val="A8F43FF2"/>
    <w:lvl w:ilvl="0">
      <w:start w:val="1"/>
      <w:numFmt w:val="decimal"/>
      <w:lvlText w:val="Figure: %1. "/>
      <w:lvlJc w:val="left"/>
      <w:pPr>
        <w:tabs>
          <w:tab w:val="num" w:pos="1080"/>
        </w:tabs>
        <w:ind w:left="360" w:hanging="360"/>
      </w:pPr>
    </w:lvl>
  </w:abstractNum>
  <w:abstractNum w:abstractNumId="3">
    <w:nsid w:val="056D4714"/>
    <w:multiLevelType w:val="hybridMultilevel"/>
    <w:tmpl w:val="1160D08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09C44CC1"/>
    <w:multiLevelType w:val="hybridMultilevel"/>
    <w:tmpl w:val="7FF2C5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0A40680B"/>
    <w:multiLevelType w:val="multilevel"/>
    <w:tmpl w:val="53C4DF38"/>
    <w:lvl w:ilvl="0">
      <w:start w:val="4"/>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nsid w:val="0E02182B"/>
    <w:multiLevelType w:val="hybridMultilevel"/>
    <w:tmpl w:val="D4007C0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204E76AF"/>
    <w:multiLevelType w:val="multilevel"/>
    <w:tmpl w:val="ED740546"/>
    <w:lvl w:ilvl="0">
      <w:start w:val="4"/>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2E135BD9"/>
    <w:multiLevelType w:val="hybridMultilevel"/>
    <w:tmpl w:val="DAD6C0E0"/>
    <w:lvl w:ilvl="0" w:tplc="42147094">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E541609"/>
    <w:multiLevelType w:val="hybridMultilevel"/>
    <w:tmpl w:val="1E5AABE8"/>
    <w:lvl w:ilvl="0" w:tplc="B888CF38">
      <w:start w:val="1"/>
      <w:numFmt w:val="decimal"/>
      <w:lvlText w:val="%1."/>
      <w:lvlJc w:val="left"/>
      <w:pPr>
        <w:tabs>
          <w:tab w:val="num" w:pos="570"/>
        </w:tabs>
        <w:ind w:left="570" w:hanging="57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368E30D3"/>
    <w:multiLevelType w:val="multilevel"/>
    <w:tmpl w:val="88209D68"/>
    <w:lvl w:ilvl="0">
      <w:start w:val="6"/>
      <w:numFmt w:val="decimal"/>
      <w:lvlText w:val="%1"/>
      <w:lvlJc w:val="left"/>
      <w:pPr>
        <w:tabs>
          <w:tab w:val="num" w:pos="570"/>
        </w:tabs>
        <w:ind w:left="570" w:hanging="570"/>
      </w:pPr>
      <w:rPr>
        <w:rFonts w:hint="default"/>
      </w:rPr>
    </w:lvl>
    <w:lvl w:ilvl="1">
      <w:start w:val="5"/>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3E7422D0"/>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2">
    <w:nsid w:val="4A810019"/>
    <w:multiLevelType w:val="singleLevel"/>
    <w:tmpl w:val="FFFFFFFF"/>
    <w:lvl w:ilvl="0">
      <w:start w:val="1"/>
      <w:numFmt w:val="bullet"/>
      <w:lvlText w:val="-"/>
      <w:legacy w:legacy="1" w:legacySpace="0" w:legacyIndent="360"/>
      <w:lvlJc w:val="left"/>
      <w:pPr>
        <w:ind w:left="1800" w:hanging="360"/>
      </w:pPr>
    </w:lvl>
  </w:abstractNum>
  <w:abstractNum w:abstractNumId="13">
    <w:nsid w:val="560C4365"/>
    <w:multiLevelType w:val="singleLevel"/>
    <w:tmpl w:val="FFFFFFFF"/>
    <w:lvl w:ilvl="0">
      <w:start w:val="1"/>
      <w:numFmt w:val="bullet"/>
      <w:lvlText w:val="-"/>
      <w:legacy w:legacy="1" w:legacySpace="0" w:legacyIndent="360"/>
      <w:lvlJc w:val="left"/>
      <w:pPr>
        <w:ind w:left="1800" w:hanging="360"/>
      </w:pPr>
    </w:lvl>
  </w:abstractNum>
  <w:abstractNum w:abstractNumId="14">
    <w:nsid w:val="57343459"/>
    <w:multiLevelType w:val="hybridMultilevel"/>
    <w:tmpl w:val="EADA359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nsid w:val="57A351ED"/>
    <w:multiLevelType w:val="hybridMultilevel"/>
    <w:tmpl w:val="5472EBF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nsid w:val="58B56C73"/>
    <w:multiLevelType w:val="hybridMultilevel"/>
    <w:tmpl w:val="5BA42128"/>
    <w:lvl w:ilvl="0" w:tplc="EF94C522">
      <w:start w:val="2"/>
      <w:numFmt w:val="decimal"/>
      <w:lvlText w:val="%1."/>
      <w:lvlJc w:val="left"/>
      <w:pPr>
        <w:tabs>
          <w:tab w:val="num" w:pos="570"/>
        </w:tabs>
        <w:ind w:left="570" w:hanging="57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642D6557"/>
    <w:multiLevelType w:val="multilevel"/>
    <w:tmpl w:val="1E5AABE8"/>
    <w:lvl w:ilvl="0">
      <w:start w:val="1"/>
      <w:numFmt w:val="decimal"/>
      <w:lvlText w:val="%1."/>
      <w:lvlJc w:val="left"/>
      <w:pPr>
        <w:tabs>
          <w:tab w:val="num" w:pos="570"/>
        </w:tabs>
        <w:ind w:left="570" w:hanging="57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nsid w:val="658C02A1"/>
    <w:multiLevelType w:val="singleLevel"/>
    <w:tmpl w:val="E7D22186"/>
    <w:lvl w:ilvl="0">
      <w:start w:val="1"/>
      <w:numFmt w:val="upperRoman"/>
      <w:lvlText w:val="%1."/>
      <w:lvlJc w:val="left"/>
      <w:pPr>
        <w:tabs>
          <w:tab w:val="num" w:pos="720"/>
        </w:tabs>
        <w:ind w:left="360" w:hanging="360"/>
      </w:pPr>
    </w:lvl>
  </w:abstractNum>
  <w:abstractNum w:abstractNumId="19">
    <w:nsid w:val="68247730"/>
    <w:multiLevelType w:val="singleLevel"/>
    <w:tmpl w:val="6096C72A"/>
    <w:lvl w:ilvl="0">
      <w:start w:val="5"/>
      <w:numFmt w:val="decimal"/>
      <w:lvlText w:val="%1."/>
      <w:lvlJc w:val="left"/>
      <w:pPr>
        <w:tabs>
          <w:tab w:val="num" w:pos="570"/>
        </w:tabs>
        <w:ind w:left="570" w:hanging="570"/>
      </w:pPr>
      <w:rPr>
        <w:rFonts w:hint="default"/>
      </w:rPr>
    </w:lvl>
  </w:abstractNum>
  <w:abstractNum w:abstractNumId="20">
    <w:nsid w:val="69E95A54"/>
    <w:multiLevelType w:val="hybridMultilevel"/>
    <w:tmpl w:val="3C18EFB0"/>
    <w:lvl w:ilvl="0" w:tplc="42147094">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B014835"/>
    <w:multiLevelType w:val="multilevel"/>
    <w:tmpl w:val="CFACB26E"/>
    <w:lvl w:ilvl="0">
      <w:start w:val="4"/>
      <w:numFmt w:val="decimal"/>
      <w:lvlText w:val="%1"/>
      <w:lvlJc w:val="left"/>
      <w:pPr>
        <w:tabs>
          <w:tab w:val="num" w:pos="570"/>
        </w:tabs>
        <w:ind w:left="570" w:hanging="570"/>
      </w:pPr>
      <w:rPr>
        <w:rFonts w:hint="default"/>
      </w:rPr>
    </w:lvl>
    <w:lvl w:ilvl="1">
      <w:start w:val="8"/>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nsid w:val="6D941758"/>
    <w:multiLevelType w:val="singleLevel"/>
    <w:tmpl w:val="98907B74"/>
    <w:lvl w:ilvl="0">
      <w:start w:val="1"/>
      <w:numFmt w:val="decimal"/>
      <w:lvlText w:val="%1."/>
      <w:lvlJc w:val="left"/>
      <w:pPr>
        <w:tabs>
          <w:tab w:val="num" w:pos="360"/>
        </w:tabs>
        <w:ind w:left="360" w:hanging="360"/>
      </w:pPr>
      <w:rPr>
        <w:rFonts w:hint="default"/>
        <w:b/>
      </w:rPr>
    </w:lvl>
  </w:abstractNum>
  <w:abstractNum w:abstractNumId="23">
    <w:nsid w:val="6F9337D0"/>
    <w:multiLevelType w:val="hybridMultilevel"/>
    <w:tmpl w:val="B6C885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2AB50F1"/>
    <w:multiLevelType w:val="hybridMultilevel"/>
    <w:tmpl w:val="64CEA6C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8726D2E"/>
    <w:multiLevelType w:val="multilevel"/>
    <w:tmpl w:val="ED740546"/>
    <w:lvl w:ilvl="0">
      <w:start w:val="4"/>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nsid w:val="7D3A6F73"/>
    <w:multiLevelType w:val="hybridMultilevel"/>
    <w:tmpl w:val="9FBC9F5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18"/>
  </w:num>
  <w:num w:numId="3">
    <w:abstractNumId w:val="0"/>
    <w:lvlOverride w:ilvl="0">
      <w:lvl w:ilvl="0">
        <w:start w:val="1"/>
        <w:numFmt w:val="bullet"/>
        <w:lvlText w:val="-"/>
        <w:legacy w:legacy="1" w:legacySpace="0" w:legacyIndent="360"/>
        <w:lvlJc w:val="left"/>
        <w:pPr>
          <w:ind w:left="360" w:hanging="360"/>
        </w:pPr>
      </w:lvl>
    </w:lvlOverride>
  </w:num>
  <w:num w:numId="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5">
    <w:abstractNumId w:val="19"/>
  </w:num>
  <w:num w:numId="6">
    <w:abstractNumId w:val="16"/>
  </w:num>
  <w:num w:numId="7">
    <w:abstractNumId w:val="9"/>
  </w:num>
  <w:num w:numId="8">
    <w:abstractNumId w:val="11"/>
  </w:num>
  <w:num w:numId="9">
    <w:abstractNumId w:val="24"/>
  </w:num>
  <w:num w:numId="10">
    <w:abstractNumId w:val="1"/>
  </w:num>
  <w:num w:numId="11">
    <w:abstractNumId w:val="21"/>
  </w:num>
  <w:num w:numId="12">
    <w:abstractNumId w:val="10"/>
  </w:num>
  <w:num w:numId="13">
    <w:abstractNumId w:val="7"/>
  </w:num>
  <w:num w:numId="14">
    <w:abstractNumId w:val="4"/>
  </w:num>
  <w:num w:numId="15">
    <w:abstractNumId w:val="0"/>
    <w:lvlOverride w:ilvl="0">
      <w:lvl w:ilvl="0">
        <w:start w:val="1"/>
        <w:numFmt w:val="bullet"/>
        <w:lvlText w:val="-"/>
        <w:legacy w:legacy="1" w:legacySpace="0" w:legacyIndent="360"/>
        <w:lvlJc w:val="left"/>
        <w:pPr>
          <w:ind w:left="360" w:hanging="360"/>
        </w:pPr>
      </w:lvl>
    </w:lvlOverride>
  </w:num>
  <w:num w:numId="16">
    <w:abstractNumId w:val="22"/>
  </w:num>
  <w:num w:numId="17">
    <w:abstractNumId w:val="12"/>
  </w:num>
  <w:num w:numId="18">
    <w:abstractNumId w:val="13"/>
  </w:num>
  <w:num w:numId="19">
    <w:abstractNumId w:val="25"/>
  </w:num>
  <w:num w:numId="20">
    <w:abstractNumId w:val="17"/>
  </w:num>
  <w:num w:numId="21">
    <w:abstractNumId w:val="23"/>
  </w:num>
  <w:num w:numId="22">
    <w:abstractNumId w:val="20"/>
  </w:num>
  <w:num w:numId="23">
    <w:abstractNumId w:val="8"/>
  </w:num>
  <w:num w:numId="24">
    <w:abstractNumId w:val="23"/>
  </w:num>
  <w:num w:numId="25">
    <w:abstractNumId w:val="4"/>
  </w:num>
  <w:num w:numId="26">
    <w:abstractNumId w:val="14"/>
  </w:num>
  <w:num w:numId="27">
    <w:abstractNumId w:val="3"/>
  </w:num>
  <w:num w:numId="28">
    <w:abstractNumId w:val="5"/>
  </w:num>
  <w:num w:numId="29">
    <w:abstractNumId w:val="6"/>
  </w:num>
  <w:num w:numId="30">
    <w:abstractNumId w:val="15"/>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egistered" w:val="-1"/>
    <w:docVar w:name="Version" w:val="0"/>
  </w:docVars>
  <w:rsids>
    <w:rsidRoot w:val="00812D16"/>
    <w:rsid w:val="00000D62"/>
    <w:rsid w:val="00001587"/>
    <w:rsid w:val="0000362A"/>
    <w:rsid w:val="00005701"/>
    <w:rsid w:val="00007528"/>
    <w:rsid w:val="0001164F"/>
    <w:rsid w:val="00014869"/>
    <w:rsid w:val="000150D3"/>
    <w:rsid w:val="000166C1"/>
    <w:rsid w:val="0002006B"/>
    <w:rsid w:val="00020AE8"/>
    <w:rsid w:val="00023A2C"/>
    <w:rsid w:val="00025EBE"/>
    <w:rsid w:val="00026BF2"/>
    <w:rsid w:val="000271F6"/>
    <w:rsid w:val="00030445"/>
    <w:rsid w:val="000318C7"/>
    <w:rsid w:val="00033D26"/>
    <w:rsid w:val="00033FDB"/>
    <w:rsid w:val="000344F6"/>
    <w:rsid w:val="00042263"/>
    <w:rsid w:val="00043505"/>
    <w:rsid w:val="00043C70"/>
    <w:rsid w:val="00044042"/>
    <w:rsid w:val="000474D2"/>
    <w:rsid w:val="000479C5"/>
    <w:rsid w:val="00050DFD"/>
    <w:rsid w:val="00053809"/>
    <w:rsid w:val="00053914"/>
    <w:rsid w:val="00054756"/>
    <w:rsid w:val="000560C5"/>
    <w:rsid w:val="00056C49"/>
    <w:rsid w:val="00056FE0"/>
    <w:rsid w:val="000603C8"/>
    <w:rsid w:val="000608A4"/>
    <w:rsid w:val="00060AA1"/>
    <w:rsid w:val="000631FD"/>
    <w:rsid w:val="000643D3"/>
    <w:rsid w:val="00066D58"/>
    <w:rsid w:val="00067B16"/>
    <w:rsid w:val="00071F8A"/>
    <w:rsid w:val="00073E04"/>
    <w:rsid w:val="0007628D"/>
    <w:rsid w:val="00081DAB"/>
    <w:rsid w:val="00092829"/>
    <w:rsid w:val="00092B09"/>
    <w:rsid w:val="0009351E"/>
    <w:rsid w:val="0009479A"/>
    <w:rsid w:val="00094AD6"/>
    <w:rsid w:val="00095D61"/>
    <w:rsid w:val="00095E44"/>
    <w:rsid w:val="00096D8D"/>
    <w:rsid w:val="0009755A"/>
    <w:rsid w:val="000A1232"/>
    <w:rsid w:val="000A40D0"/>
    <w:rsid w:val="000A6951"/>
    <w:rsid w:val="000B0097"/>
    <w:rsid w:val="000B101F"/>
    <w:rsid w:val="000B1F4B"/>
    <w:rsid w:val="000B2F27"/>
    <w:rsid w:val="000B2F58"/>
    <w:rsid w:val="000B37A8"/>
    <w:rsid w:val="000B51D9"/>
    <w:rsid w:val="000C03FB"/>
    <w:rsid w:val="000C308F"/>
    <w:rsid w:val="000C5A4E"/>
    <w:rsid w:val="000C635D"/>
    <w:rsid w:val="000C7F49"/>
    <w:rsid w:val="000D1AEE"/>
    <w:rsid w:val="000D1F4F"/>
    <w:rsid w:val="000D4D07"/>
    <w:rsid w:val="000D7535"/>
    <w:rsid w:val="000E165D"/>
    <w:rsid w:val="000E1BAF"/>
    <w:rsid w:val="000E223E"/>
    <w:rsid w:val="000E2491"/>
    <w:rsid w:val="000E2EA9"/>
    <w:rsid w:val="000E46A3"/>
    <w:rsid w:val="000E4E88"/>
    <w:rsid w:val="000E5726"/>
    <w:rsid w:val="000E6C94"/>
    <w:rsid w:val="000F1BB2"/>
    <w:rsid w:val="000F217A"/>
    <w:rsid w:val="000F3F94"/>
    <w:rsid w:val="000F5B21"/>
    <w:rsid w:val="00103501"/>
    <w:rsid w:val="00103B2D"/>
    <w:rsid w:val="00103CD2"/>
    <w:rsid w:val="00104061"/>
    <w:rsid w:val="00107236"/>
    <w:rsid w:val="001101A2"/>
    <w:rsid w:val="001106F7"/>
    <w:rsid w:val="001108A9"/>
    <w:rsid w:val="00112EDA"/>
    <w:rsid w:val="00114174"/>
    <w:rsid w:val="00117C1D"/>
    <w:rsid w:val="00123688"/>
    <w:rsid w:val="00127C19"/>
    <w:rsid w:val="00127F47"/>
    <w:rsid w:val="00133572"/>
    <w:rsid w:val="001364FB"/>
    <w:rsid w:val="001365F2"/>
    <w:rsid w:val="00136D7A"/>
    <w:rsid w:val="00140779"/>
    <w:rsid w:val="00141470"/>
    <w:rsid w:val="00141540"/>
    <w:rsid w:val="001449DF"/>
    <w:rsid w:val="0014569B"/>
    <w:rsid w:val="001470E0"/>
    <w:rsid w:val="00150060"/>
    <w:rsid w:val="00153E5F"/>
    <w:rsid w:val="00154C69"/>
    <w:rsid w:val="0015704C"/>
    <w:rsid w:val="00157895"/>
    <w:rsid w:val="00161701"/>
    <w:rsid w:val="00161E87"/>
    <w:rsid w:val="0016373C"/>
    <w:rsid w:val="0016566C"/>
    <w:rsid w:val="001727F0"/>
    <w:rsid w:val="00172B06"/>
    <w:rsid w:val="0017347E"/>
    <w:rsid w:val="001752D8"/>
    <w:rsid w:val="00175931"/>
    <w:rsid w:val="00176B25"/>
    <w:rsid w:val="00180EC2"/>
    <w:rsid w:val="0018238B"/>
    <w:rsid w:val="00183419"/>
    <w:rsid w:val="0018394A"/>
    <w:rsid w:val="00184DCC"/>
    <w:rsid w:val="00186A9D"/>
    <w:rsid w:val="001874A6"/>
    <w:rsid w:val="0018765B"/>
    <w:rsid w:val="00190913"/>
    <w:rsid w:val="00193DD3"/>
    <w:rsid w:val="001948AA"/>
    <w:rsid w:val="00195F65"/>
    <w:rsid w:val="001A07E2"/>
    <w:rsid w:val="001A2018"/>
    <w:rsid w:val="001A56F1"/>
    <w:rsid w:val="001A5D0E"/>
    <w:rsid w:val="001B01C8"/>
    <w:rsid w:val="001B0B52"/>
    <w:rsid w:val="001B13F6"/>
    <w:rsid w:val="001B1747"/>
    <w:rsid w:val="001B2D44"/>
    <w:rsid w:val="001B752A"/>
    <w:rsid w:val="001C12FB"/>
    <w:rsid w:val="001C2DB4"/>
    <w:rsid w:val="001C3228"/>
    <w:rsid w:val="001C35E9"/>
    <w:rsid w:val="001C36BD"/>
    <w:rsid w:val="001C3733"/>
    <w:rsid w:val="001C49B3"/>
    <w:rsid w:val="001C5B30"/>
    <w:rsid w:val="001D0EBB"/>
    <w:rsid w:val="001D3C05"/>
    <w:rsid w:val="001D6AF4"/>
    <w:rsid w:val="001E0CC1"/>
    <w:rsid w:val="001E1C10"/>
    <w:rsid w:val="001E3CC0"/>
    <w:rsid w:val="001E62C4"/>
    <w:rsid w:val="001E77C3"/>
    <w:rsid w:val="001F090B"/>
    <w:rsid w:val="001F180A"/>
    <w:rsid w:val="001F1A28"/>
    <w:rsid w:val="001F1AD0"/>
    <w:rsid w:val="001F35E8"/>
    <w:rsid w:val="001F4014"/>
    <w:rsid w:val="001F445E"/>
    <w:rsid w:val="001F6423"/>
    <w:rsid w:val="00201213"/>
    <w:rsid w:val="0020165E"/>
    <w:rsid w:val="0020272E"/>
    <w:rsid w:val="00202E50"/>
    <w:rsid w:val="00205180"/>
    <w:rsid w:val="00205A12"/>
    <w:rsid w:val="00207F81"/>
    <w:rsid w:val="002109F4"/>
    <w:rsid w:val="00211FDA"/>
    <w:rsid w:val="00215FDA"/>
    <w:rsid w:val="002160C2"/>
    <w:rsid w:val="00222BB9"/>
    <w:rsid w:val="00224EB2"/>
    <w:rsid w:val="002258D6"/>
    <w:rsid w:val="002274FB"/>
    <w:rsid w:val="002309D2"/>
    <w:rsid w:val="00231B61"/>
    <w:rsid w:val="0023315B"/>
    <w:rsid w:val="002347FE"/>
    <w:rsid w:val="0024178D"/>
    <w:rsid w:val="0024392B"/>
    <w:rsid w:val="002450C6"/>
    <w:rsid w:val="00245DCF"/>
    <w:rsid w:val="00246C65"/>
    <w:rsid w:val="0024721F"/>
    <w:rsid w:val="00251A10"/>
    <w:rsid w:val="00252BFF"/>
    <w:rsid w:val="00253732"/>
    <w:rsid w:val="002542A8"/>
    <w:rsid w:val="00260A11"/>
    <w:rsid w:val="0026169A"/>
    <w:rsid w:val="00262763"/>
    <w:rsid w:val="00264BEA"/>
    <w:rsid w:val="00267850"/>
    <w:rsid w:val="00271032"/>
    <w:rsid w:val="00273E3E"/>
    <w:rsid w:val="00274147"/>
    <w:rsid w:val="00275189"/>
    <w:rsid w:val="002756DC"/>
    <w:rsid w:val="00276412"/>
    <w:rsid w:val="00276437"/>
    <w:rsid w:val="00280053"/>
    <w:rsid w:val="0028063F"/>
    <w:rsid w:val="00280740"/>
    <w:rsid w:val="00283B02"/>
    <w:rsid w:val="00283C5D"/>
    <w:rsid w:val="002844B0"/>
    <w:rsid w:val="00286322"/>
    <w:rsid w:val="00296B03"/>
    <w:rsid w:val="00296C1F"/>
    <w:rsid w:val="002A41E6"/>
    <w:rsid w:val="002A44C8"/>
    <w:rsid w:val="002A5E48"/>
    <w:rsid w:val="002A6414"/>
    <w:rsid w:val="002B0059"/>
    <w:rsid w:val="002B0455"/>
    <w:rsid w:val="002B261C"/>
    <w:rsid w:val="002B2BEE"/>
    <w:rsid w:val="002B35C5"/>
    <w:rsid w:val="002B3935"/>
    <w:rsid w:val="002B406A"/>
    <w:rsid w:val="002B41D4"/>
    <w:rsid w:val="002B543F"/>
    <w:rsid w:val="002B7D73"/>
    <w:rsid w:val="002C06E3"/>
    <w:rsid w:val="002C0801"/>
    <w:rsid w:val="002C145F"/>
    <w:rsid w:val="002C23CE"/>
    <w:rsid w:val="002C33B3"/>
    <w:rsid w:val="002C44B0"/>
    <w:rsid w:val="002C4E07"/>
    <w:rsid w:val="002D0586"/>
    <w:rsid w:val="002D1023"/>
    <w:rsid w:val="002D1459"/>
    <w:rsid w:val="002D1470"/>
    <w:rsid w:val="002D21CF"/>
    <w:rsid w:val="002D3DB7"/>
    <w:rsid w:val="002D4705"/>
    <w:rsid w:val="002D5B65"/>
    <w:rsid w:val="002D6396"/>
    <w:rsid w:val="002D7E5E"/>
    <w:rsid w:val="002E07BA"/>
    <w:rsid w:val="002E07EF"/>
    <w:rsid w:val="002E0D06"/>
    <w:rsid w:val="002E1810"/>
    <w:rsid w:val="002E4E94"/>
    <w:rsid w:val="002F1F28"/>
    <w:rsid w:val="002F43CA"/>
    <w:rsid w:val="002F57AA"/>
    <w:rsid w:val="002F6EF7"/>
    <w:rsid w:val="002F714C"/>
    <w:rsid w:val="002F77BF"/>
    <w:rsid w:val="003004A2"/>
    <w:rsid w:val="00301D5E"/>
    <w:rsid w:val="00302DF7"/>
    <w:rsid w:val="00303DD5"/>
    <w:rsid w:val="00307B74"/>
    <w:rsid w:val="00310764"/>
    <w:rsid w:val="00311BFD"/>
    <w:rsid w:val="00314718"/>
    <w:rsid w:val="0031488A"/>
    <w:rsid w:val="003175E1"/>
    <w:rsid w:val="00320203"/>
    <w:rsid w:val="00322002"/>
    <w:rsid w:val="003247B0"/>
    <w:rsid w:val="00325E81"/>
    <w:rsid w:val="00326948"/>
    <w:rsid w:val="00327052"/>
    <w:rsid w:val="0033486D"/>
    <w:rsid w:val="003367C4"/>
    <w:rsid w:val="00336D8E"/>
    <w:rsid w:val="003376B3"/>
    <w:rsid w:val="00345F9C"/>
    <w:rsid w:val="00347776"/>
    <w:rsid w:val="00347B27"/>
    <w:rsid w:val="00351A91"/>
    <w:rsid w:val="003520C4"/>
    <w:rsid w:val="003533AE"/>
    <w:rsid w:val="00355E14"/>
    <w:rsid w:val="00357C5E"/>
    <w:rsid w:val="003608BD"/>
    <w:rsid w:val="00361280"/>
    <w:rsid w:val="003615F1"/>
    <w:rsid w:val="00361A6E"/>
    <w:rsid w:val="00363D7F"/>
    <w:rsid w:val="0036655E"/>
    <w:rsid w:val="00367C66"/>
    <w:rsid w:val="003700B2"/>
    <w:rsid w:val="0037233D"/>
    <w:rsid w:val="003736EF"/>
    <w:rsid w:val="003737E3"/>
    <w:rsid w:val="003759CA"/>
    <w:rsid w:val="00380A1A"/>
    <w:rsid w:val="00380D80"/>
    <w:rsid w:val="0038500E"/>
    <w:rsid w:val="0038761D"/>
    <w:rsid w:val="003906F8"/>
    <w:rsid w:val="003935EE"/>
    <w:rsid w:val="00393EE9"/>
    <w:rsid w:val="0039408A"/>
    <w:rsid w:val="003945F5"/>
    <w:rsid w:val="0039673D"/>
    <w:rsid w:val="003975DA"/>
    <w:rsid w:val="00397893"/>
    <w:rsid w:val="00397909"/>
    <w:rsid w:val="003A2407"/>
    <w:rsid w:val="003A2CF0"/>
    <w:rsid w:val="003A33D3"/>
    <w:rsid w:val="003A3880"/>
    <w:rsid w:val="003A4B52"/>
    <w:rsid w:val="003A5BC5"/>
    <w:rsid w:val="003A5D55"/>
    <w:rsid w:val="003A75E6"/>
    <w:rsid w:val="003B255B"/>
    <w:rsid w:val="003B3317"/>
    <w:rsid w:val="003B4B2F"/>
    <w:rsid w:val="003B52D4"/>
    <w:rsid w:val="003C1CA5"/>
    <w:rsid w:val="003C1EC7"/>
    <w:rsid w:val="003C3D8E"/>
    <w:rsid w:val="003C64A0"/>
    <w:rsid w:val="003C6F0B"/>
    <w:rsid w:val="003C785B"/>
    <w:rsid w:val="003C7BA3"/>
    <w:rsid w:val="003D4E9C"/>
    <w:rsid w:val="003E0D78"/>
    <w:rsid w:val="003E1CB1"/>
    <w:rsid w:val="003E3A1D"/>
    <w:rsid w:val="003E6CA0"/>
    <w:rsid w:val="003F1F41"/>
    <w:rsid w:val="003F2FDE"/>
    <w:rsid w:val="003F330B"/>
    <w:rsid w:val="003F6FDF"/>
    <w:rsid w:val="004016F5"/>
    <w:rsid w:val="004023A5"/>
    <w:rsid w:val="004045AA"/>
    <w:rsid w:val="0040549A"/>
    <w:rsid w:val="00405CC9"/>
    <w:rsid w:val="0040711E"/>
    <w:rsid w:val="00407D67"/>
    <w:rsid w:val="00412450"/>
    <w:rsid w:val="004138DE"/>
    <w:rsid w:val="00413B39"/>
    <w:rsid w:val="00414B2F"/>
    <w:rsid w:val="00415E58"/>
    <w:rsid w:val="00416231"/>
    <w:rsid w:val="004208AB"/>
    <w:rsid w:val="004219EF"/>
    <w:rsid w:val="00421A72"/>
    <w:rsid w:val="00424348"/>
    <w:rsid w:val="00426CD9"/>
    <w:rsid w:val="00430FEB"/>
    <w:rsid w:val="004310EE"/>
    <w:rsid w:val="00433677"/>
    <w:rsid w:val="004340D5"/>
    <w:rsid w:val="00434880"/>
    <w:rsid w:val="00434A21"/>
    <w:rsid w:val="0043526D"/>
    <w:rsid w:val="00445D0F"/>
    <w:rsid w:val="004460E9"/>
    <w:rsid w:val="00447B6F"/>
    <w:rsid w:val="00453623"/>
    <w:rsid w:val="00453C11"/>
    <w:rsid w:val="004557B0"/>
    <w:rsid w:val="00457946"/>
    <w:rsid w:val="00457D8B"/>
    <w:rsid w:val="00460A17"/>
    <w:rsid w:val="00462F79"/>
    <w:rsid w:val="00463ECE"/>
    <w:rsid w:val="00467781"/>
    <w:rsid w:val="00470CB5"/>
    <w:rsid w:val="00471EAB"/>
    <w:rsid w:val="004723EE"/>
    <w:rsid w:val="00475A92"/>
    <w:rsid w:val="00477BB9"/>
    <w:rsid w:val="004859EE"/>
    <w:rsid w:val="00487366"/>
    <w:rsid w:val="004873E4"/>
    <w:rsid w:val="0049072C"/>
    <w:rsid w:val="00490FD1"/>
    <w:rsid w:val="00491AD2"/>
    <w:rsid w:val="004935C0"/>
    <w:rsid w:val="00493B43"/>
    <w:rsid w:val="00494EB1"/>
    <w:rsid w:val="00496414"/>
    <w:rsid w:val="00497A38"/>
    <w:rsid w:val="004A45BD"/>
    <w:rsid w:val="004A4656"/>
    <w:rsid w:val="004A77B0"/>
    <w:rsid w:val="004B08A9"/>
    <w:rsid w:val="004B1CED"/>
    <w:rsid w:val="004B24FF"/>
    <w:rsid w:val="004B34A7"/>
    <w:rsid w:val="004B3B06"/>
    <w:rsid w:val="004B4643"/>
    <w:rsid w:val="004B7E2F"/>
    <w:rsid w:val="004B7F67"/>
    <w:rsid w:val="004C06BE"/>
    <w:rsid w:val="004C0938"/>
    <w:rsid w:val="004C1994"/>
    <w:rsid w:val="004C70FC"/>
    <w:rsid w:val="004D2675"/>
    <w:rsid w:val="004D4080"/>
    <w:rsid w:val="004E05FD"/>
    <w:rsid w:val="004E1A0D"/>
    <w:rsid w:val="004E23F5"/>
    <w:rsid w:val="004E5418"/>
    <w:rsid w:val="004E63E5"/>
    <w:rsid w:val="004E6B76"/>
    <w:rsid w:val="004F1437"/>
    <w:rsid w:val="004F3540"/>
    <w:rsid w:val="004F52DB"/>
    <w:rsid w:val="004F5624"/>
    <w:rsid w:val="004F5DA4"/>
    <w:rsid w:val="004F62B2"/>
    <w:rsid w:val="004F6424"/>
    <w:rsid w:val="005040CD"/>
    <w:rsid w:val="00505229"/>
    <w:rsid w:val="00507F98"/>
    <w:rsid w:val="005108A3"/>
    <w:rsid w:val="00510F6E"/>
    <w:rsid w:val="00511422"/>
    <w:rsid w:val="005118AE"/>
    <w:rsid w:val="0051587A"/>
    <w:rsid w:val="005158FA"/>
    <w:rsid w:val="005169AD"/>
    <w:rsid w:val="005208B9"/>
    <w:rsid w:val="005221F0"/>
    <w:rsid w:val="00524807"/>
    <w:rsid w:val="005252FE"/>
    <w:rsid w:val="00525FF9"/>
    <w:rsid w:val="00532C41"/>
    <w:rsid w:val="00532D3F"/>
    <w:rsid w:val="0053386D"/>
    <w:rsid w:val="00534700"/>
    <w:rsid w:val="0053791F"/>
    <w:rsid w:val="00547538"/>
    <w:rsid w:val="00553BFA"/>
    <w:rsid w:val="00554D05"/>
    <w:rsid w:val="0056077E"/>
    <w:rsid w:val="00560EDA"/>
    <w:rsid w:val="005629EE"/>
    <w:rsid w:val="005648FA"/>
    <w:rsid w:val="00564D50"/>
    <w:rsid w:val="00567346"/>
    <w:rsid w:val="005735BE"/>
    <w:rsid w:val="0057371B"/>
    <w:rsid w:val="00575EB8"/>
    <w:rsid w:val="00582A9B"/>
    <w:rsid w:val="005832AB"/>
    <w:rsid w:val="0058437C"/>
    <w:rsid w:val="005935F4"/>
    <w:rsid w:val="00593E0A"/>
    <w:rsid w:val="005A167F"/>
    <w:rsid w:val="005A346E"/>
    <w:rsid w:val="005A73CF"/>
    <w:rsid w:val="005B3F6F"/>
    <w:rsid w:val="005B798B"/>
    <w:rsid w:val="005C1FAE"/>
    <w:rsid w:val="005C39E8"/>
    <w:rsid w:val="005C5660"/>
    <w:rsid w:val="005C72E3"/>
    <w:rsid w:val="005D4B68"/>
    <w:rsid w:val="005E11C1"/>
    <w:rsid w:val="005E2563"/>
    <w:rsid w:val="005E394C"/>
    <w:rsid w:val="005E42BF"/>
    <w:rsid w:val="005E4E70"/>
    <w:rsid w:val="005E65BB"/>
    <w:rsid w:val="005F0DA0"/>
    <w:rsid w:val="005F2767"/>
    <w:rsid w:val="005F4914"/>
    <w:rsid w:val="005F62B7"/>
    <w:rsid w:val="005F6869"/>
    <w:rsid w:val="005F6BB9"/>
    <w:rsid w:val="00603148"/>
    <w:rsid w:val="00606FC7"/>
    <w:rsid w:val="00610456"/>
    <w:rsid w:val="00611473"/>
    <w:rsid w:val="00611B36"/>
    <w:rsid w:val="00613A34"/>
    <w:rsid w:val="00615ADA"/>
    <w:rsid w:val="006221CD"/>
    <w:rsid w:val="006266A9"/>
    <w:rsid w:val="00630426"/>
    <w:rsid w:val="006316C1"/>
    <w:rsid w:val="00631ED4"/>
    <w:rsid w:val="00633BC7"/>
    <w:rsid w:val="00635AC7"/>
    <w:rsid w:val="00635E9C"/>
    <w:rsid w:val="00637B41"/>
    <w:rsid w:val="006414EE"/>
    <w:rsid w:val="00642524"/>
    <w:rsid w:val="00642D0A"/>
    <w:rsid w:val="0064630E"/>
    <w:rsid w:val="00646FE1"/>
    <w:rsid w:val="00647075"/>
    <w:rsid w:val="0065581D"/>
    <w:rsid w:val="00655C2F"/>
    <w:rsid w:val="00655CD2"/>
    <w:rsid w:val="00660403"/>
    <w:rsid w:val="00661140"/>
    <w:rsid w:val="006710DD"/>
    <w:rsid w:val="00673200"/>
    <w:rsid w:val="0067501E"/>
    <w:rsid w:val="006773D2"/>
    <w:rsid w:val="00680581"/>
    <w:rsid w:val="00681A41"/>
    <w:rsid w:val="006821B2"/>
    <w:rsid w:val="006838C0"/>
    <w:rsid w:val="00685901"/>
    <w:rsid w:val="00685BB9"/>
    <w:rsid w:val="00690127"/>
    <w:rsid w:val="00691BFF"/>
    <w:rsid w:val="006953C1"/>
    <w:rsid w:val="00696EB2"/>
    <w:rsid w:val="006A16E9"/>
    <w:rsid w:val="006A5450"/>
    <w:rsid w:val="006B0199"/>
    <w:rsid w:val="006B0A32"/>
    <w:rsid w:val="006B0BD8"/>
    <w:rsid w:val="006B4557"/>
    <w:rsid w:val="006C0251"/>
    <w:rsid w:val="006C2B9A"/>
    <w:rsid w:val="006C39BB"/>
    <w:rsid w:val="006C4502"/>
    <w:rsid w:val="006C6114"/>
    <w:rsid w:val="006D2288"/>
    <w:rsid w:val="006D4464"/>
    <w:rsid w:val="006D5E91"/>
    <w:rsid w:val="006E14E6"/>
    <w:rsid w:val="006E1AEE"/>
    <w:rsid w:val="006E2F52"/>
    <w:rsid w:val="006E32A9"/>
    <w:rsid w:val="006E3B9C"/>
    <w:rsid w:val="006E51A2"/>
    <w:rsid w:val="006E78D4"/>
    <w:rsid w:val="006F0DE2"/>
    <w:rsid w:val="006F11BD"/>
    <w:rsid w:val="006F25B4"/>
    <w:rsid w:val="006F32C7"/>
    <w:rsid w:val="006F3495"/>
    <w:rsid w:val="006F417D"/>
    <w:rsid w:val="006F5C83"/>
    <w:rsid w:val="006F67CC"/>
    <w:rsid w:val="006F6B89"/>
    <w:rsid w:val="00701C2D"/>
    <w:rsid w:val="00702162"/>
    <w:rsid w:val="00703930"/>
    <w:rsid w:val="0070610E"/>
    <w:rsid w:val="00707759"/>
    <w:rsid w:val="00710081"/>
    <w:rsid w:val="00710B0D"/>
    <w:rsid w:val="00713CB5"/>
    <w:rsid w:val="00714E3F"/>
    <w:rsid w:val="0071558B"/>
    <w:rsid w:val="0071776A"/>
    <w:rsid w:val="00721189"/>
    <w:rsid w:val="007221C3"/>
    <w:rsid w:val="00722F2C"/>
    <w:rsid w:val="007254D1"/>
    <w:rsid w:val="00725B32"/>
    <w:rsid w:val="00725B3C"/>
    <w:rsid w:val="00733D54"/>
    <w:rsid w:val="00736A4F"/>
    <w:rsid w:val="00737753"/>
    <w:rsid w:val="00737768"/>
    <w:rsid w:val="00740CE9"/>
    <w:rsid w:val="007428E3"/>
    <w:rsid w:val="0074394E"/>
    <w:rsid w:val="0074422D"/>
    <w:rsid w:val="00750D0A"/>
    <w:rsid w:val="00751D93"/>
    <w:rsid w:val="00752300"/>
    <w:rsid w:val="00753BF5"/>
    <w:rsid w:val="007546F8"/>
    <w:rsid w:val="0075579B"/>
    <w:rsid w:val="00755BAB"/>
    <w:rsid w:val="0076080E"/>
    <w:rsid w:val="0076411D"/>
    <w:rsid w:val="007670F8"/>
    <w:rsid w:val="007671D4"/>
    <w:rsid w:val="00770A85"/>
    <w:rsid w:val="00773DC9"/>
    <w:rsid w:val="0077572E"/>
    <w:rsid w:val="00777BE4"/>
    <w:rsid w:val="0078031B"/>
    <w:rsid w:val="00784F44"/>
    <w:rsid w:val="00786672"/>
    <w:rsid w:val="007872CF"/>
    <w:rsid w:val="0079201C"/>
    <w:rsid w:val="0079307F"/>
    <w:rsid w:val="007940C5"/>
    <w:rsid w:val="007947C4"/>
    <w:rsid w:val="00795CE1"/>
    <w:rsid w:val="007A0646"/>
    <w:rsid w:val="007A06AC"/>
    <w:rsid w:val="007A4636"/>
    <w:rsid w:val="007B1014"/>
    <w:rsid w:val="007B103F"/>
    <w:rsid w:val="007B1484"/>
    <w:rsid w:val="007B1A10"/>
    <w:rsid w:val="007B31AB"/>
    <w:rsid w:val="007B3268"/>
    <w:rsid w:val="007B42D3"/>
    <w:rsid w:val="007B46D9"/>
    <w:rsid w:val="007B6659"/>
    <w:rsid w:val="007B6C39"/>
    <w:rsid w:val="007B76AB"/>
    <w:rsid w:val="007B7DBD"/>
    <w:rsid w:val="007C45D3"/>
    <w:rsid w:val="007C597B"/>
    <w:rsid w:val="007C760C"/>
    <w:rsid w:val="007D08FD"/>
    <w:rsid w:val="007D1584"/>
    <w:rsid w:val="007D2044"/>
    <w:rsid w:val="007D4F33"/>
    <w:rsid w:val="007D554B"/>
    <w:rsid w:val="007D65C7"/>
    <w:rsid w:val="007D74D2"/>
    <w:rsid w:val="007D79B5"/>
    <w:rsid w:val="007E2334"/>
    <w:rsid w:val="007E23CE"/>
    <w:rsid w:val="007E2CE7"/>
    <w:rsid w:val="007E43D0"/>
    <w:rsid w:val="007E4F00"/>
    <w:rsid w:val="007E54F8"/>
    <w:rsid w:val="007E5987"/>
    <w:rsid w:val="007E5BD8"/>
    <w:rsid w:val="007E7BF9"/>
    <w:rsid w:val="007F02BC"/>
    <w:rsid w:val="007F1D17"/>
    <w:rsid w:val="007F20D7"/>
    <w:rsid w:val="007F2E65"/>
    <w:rsid w:val="007F43BA"/>
    <w:rsid w:val="007F45D1"/>
    <w:rsid w:val="007F64BE"/>
    <w:rsid w:val="007F6DC3"/>
    <w:rsid w:val="008006B4"/>
    <w:rsid w:val="008015B6"/>
    <w:rsid w:val="00803FD4"/>
    <w:rsid w:val="0080481C"/>
    <w:rsid w:val="00804C54"/>
    <w:rsid w:val="008056DD"/>
    <w:rsid w:val="0081104C"/>
    <w:rsid w:val="008121F2"/>
    <w:rsid w:val="00812D16"/>
    <w:rsid w:val="00816C51"/>
    <w:rsid w:val="00821865"/>
    <w:rsid w:val="008225EB"/>
    <w:rsid w:val="0082327D"/>
    <w:rsid w:val="0082433D"/>
    <w:rsid w:val="00826509"/>
    <w:rsid w:val="0083354D"/>
    <w:rsid w:val="0083561B"/>
    <w:rsid w:val="00837D78"/>
    <w:rsid w:val="00840D79"/>
    <w:rsid w:val="00842A21"/>
    <w:rsid w:val="00845DAD"/>
    <w:rsid w:val="00851377"/>
    <w:rsid w:val="0085437C"/>
    <w:rsid w:val="00854B2F"/>
    <w:rsid w:val="00855481"/>
    <w:rsid w:val="00856354"/>
    <w:rsid w:val="008568E1"/>
    <w:rsid w:val="00856BE9"/>
    <w:rsid w:val="008578F8"/>
    <w:rsid w:val="00860566"/>
    <w:rsid w:val="0086165C"/>
    <w:rsid w:val="00861B26"/>
    <w:rsid w:val="00862EED"/>
    <w:rsid w:val="008643FC"/>
    <w:rsid w:val="008649B9"/>
    <w:rsid w:val="0086784F"/>
    <w:rsid w:val="00870394"/>
    <w:rsid w:val="0087073B"/>
    <w:rsid w:val="00873967"/>
    <w:rsid w:val="008770D4"/>
    <w:rsid w:val="008800E5"/>
    <w:rsid w:val="0088127F"/>
    <w:rsid w:val="008815EF"/>
    <w:rsid w:val="00885273"/>
    <w:rsid w:val="00885F2C"/>
    <w:rsid w:val="00886386"/>
    <w:rsid w:val="0088701C"/>
    <w:rsid w:val="00892459"/>
    <w:rsid w:val="008929AA"/>
    <w:rsid w:val="00892AA5"/>
    <w:rsid w:val="0089499B"/>
    <w:rsid w:val="00894ACA"/>
    <w:rsid w:val="00894EC5"/>
    <w:rsid w:val="00896658"/>
    <w:rsid w:val="008967B5"/>
    <w:rsid w:val="008A03AC"/>
    <w:rsid w:val="008A1008"/>
    <w:rsid w:val="008A345A"/>
    <w:rsid w:val="008A3DB9"/>
    <w:rsid w:val="008A6A5C"/>
    <w:rsid w:val="008A7316"/>
    <w:rsid w:val="008B4A1C"/>
    <w:rsid w:val="008B500A"/>
    <w:rsid w:val="008B6CF5"/>
    <w:rsid w:val="008C1610"/>
    <w:rsid w:val="008C2F1E"/>
    <w:rsid w:val="008C30E5"/>
    <w:rsid w:val="008C3B5B"/>
    <w:rsid w:val="008C409F"/>
    <w:rsid w:val="008C602D"/>
    <w:rsid w:val="008C6BCC"/>
    <w:rsid w:val="008D098D"/>
    <w:rsid w:val="008D135A"/>
    <w:rsid w:val="008D2205"/>
    <w:rsid w:val="008D2331"/>
    <w:rsid w:val="008D347F"/>
    <w:rsid w:val="008D35AD"/>
    <w:rsid w:val="008D36CD"/>
    <w:rsid w:val="008D4380"/>
    <w:rsid w:val="008D48D1"/>
    <w:rsid w:val="008D6BE8"/>
    <w:rsid w:val="008E27E9"/>
    <w:rsid w:val="008E42DE"/>
    <w:rsid w:val="008F2C49"/>
    <w:rsid w:val="008F36F0"/>
    <w:rsid w:val="008F66BC"/>
    <w:rsid w:val="008F7CFF"/>
    <w:rsid w:val="008F7ED1"/>
    <w:rsid w:val="00901C8D"/>
    <w:rsid w:val="00904A4D"/>
    <w:rsid w:val="00905643"/>
    <w:rsid w:val="00905EE9"/>
    <w:rsid w:val="009065F4"/>
    <w:rsid w:val="009075A7"/>
    <w:rsid w:val="00907DFB"/>
    <w:rsid w:val="00910624"/>
    <w:rsid w:val="00910FBA"/>
    <w:rsid w:val="00911D39"/>
    <w:rsid w:val="00912B9F"/>
    <w:rsid w:val="00917C0F"/>
    <w:rsid w:val="0092040E"/>
    <w:rsid w:val="00920C6C"/>
    <w:rsid w:val="00921897"/>
    <w:rsid w:val="00921C6D"/>
    <w:rsid w:val="009227D9"/>
    <w:rsid w:val="00923C44"/>
    <w:rsid w:val="00927791"/>
    <w:rsid w:val="00930607"/>
    <w:rsid w:val="00930D0A"/>
    <w:rsid w:val="009329BA"/>
    <w:rsid w:val="0093304D"/>
    <w:rsid w:val="00933705"/>
    <w:rsid w:val="00936939"/>
    <w:rsid w:val="0094053B"/>
    <w:rsid w:val="00942040"/>
    <w:rsid w:val="00942C9F"/>
    <w:rsid w:val="00945631"/>
    <w:rsid w:val="00947549"/>
    <w:rsid w:val="00947CF3"/>
    <w:rsid w:val="009513DE"/>
    <w:rsid w:val="0095793C"/>
    <w:rsid w:val="0096111E"/>
    <w:rsid w:val="00961125"/>
    <w:rsid w:val="009623D8"/>
    <w:rsid w:val="00963362"/>
    <w:rsid w:val="00963BD1"/>
    <w:rsid w:val="00966B1F"/>
    <w:rsid w:val="00967D6C"/>
    <w:rsid w:val="00970A7E"/>
    <w:rsid w:val="0097116E"/>
    <w:rsid w:val="00974518"/>
    <w:rsid w:val="00980FE0"/>
    <w:rsid w:val="00985F8B"/>
    <w:rsid w:val="009864FB"/>
    <w:rsid w:val="00990C3B"/>
    <w:rsid w:val="00991CBD"/>
    <w:rsid w:val="009921E6"/>
    <w:rsid w:val="009928B7"/>
    <w:rsid w:val="0099321A"/>
    <w:rsid w:val="009947E8"/>
    <w:rsid w:val="009960B7"/>
    <w:rsid w:val="00996F08"/>
    <w:rsid w:val="009972FE"/>
    <w:rsid w:val="009B536C"/>
    <w:rsid w:val="009B5C19"/>
    <w:rsid w:val="009B6496"/>
    <w:rsid w:val="009C01DA"/>
    <w:rsid w:val="009C1528"/>
    <w:rsid w:val="009C20CA"/>
    <w:rsid w:val="009C20CC"/>
    <w:rsid w:val="009C2BDF"/>
    <w:rsid w:val="009C3558"/>
    <w:rsid w:val="009C562E"/>
    <w:rsid w:val="009C5E44"/>
    <w:rsid w:val="009C7531"/>
    <w:rsid w:val="009D220C"/>
    <w:rsid w:val="009D221F"/>
    <w:rsid w:val="009E09F0"/>
    <w:rsid w:val="009E19E8"/>
    <w:rsid w:val="009E377C"/>
    <w:rsid w:val="009E411C"/>
    <w:rsid w:val="009E458A"/>
    <w:rsid w:val="009E5316"/>
    <w:rsid w:val="009E5D7C"/>
    <w:rsid w:val="009E5DFC"/>
    <w:rsid w:val="009F1789"/>
    <w:rsid w:val="009F2E3B"/>
    <w:rsid w:val="009F36D2"/>
    <w:rsid w:val="009F3B6B"/>
    <w:rsid w:val="009F4504"/>
    <w:rsid w:val="009F502C"/>
    <w:rsid w:val="009F603B"/>
    <w:rsid w:val="009F6987"/>
    <w:rsid w:val="009F7078"/>
    <w:rsid w:val="009F720F"/>
    <w:rsid w:val="009F78FD"/>
    <w:rsid w:val="00A010E7"/>
    <w:rsid w:val="00A01405"/>
    <w:rsid w:val="00A01A17"/>
    <w:rsid w:val="00A01A60"/>
    <w:rsid w:val="00A06E6E"/>
    <w:rsid w:val="00A076F9"/>
    <w:rsid w:val="00A07997"/>
    <w:rsid w:val="00A07F87"/>
    <w:rsid w:val="00A13659"/>
    <w:rsid w:val="00A1637F"/>
    <w:rsid w:val="00A206ED"/>
    <w:rsid w:val="00A20806"/>
    <w:rsid w:val="00A20C7F"/>
    <w:rsid w:val="00A21D41"/>
    <w:rsid w:val="00A22DBA"/>
    <w:rsid w:val="00A2329D"/>
    <w:rsid w:val="00A2490E"/>
    <w:rsid w:val="00A25442"/>
    <w:rsid w:val="00A25BFF"/>
    <w:rsid w:val="00A26648"/>
    <w:rsid w:val="00A26F79"/>
    <w:rsid w:val="00A27522"/>
    <w:rsid w:val="00A3136F"/>
    <w:rsid w:val="00A34D0C"/>
    <w:rsid w:val="00A34D76"/>
    <w:rsid w:val="00A365D0"/>
    <w:rsid w:val="00A402B8"/>
    <w:rsid w:val="00A4043E"/>
    <w:rsid w:val="00A437D9"/>
    <w:rsid w:val="00A43C16"/>
    <w:rsid w:val="00A443A6"/>
    <w:rsid w:val="00A45A1A"/>
    <w:rsid w:val="00A45E61"/>
    <w:rsid w:val="00A47F32"/>
    <w:rsid w:val="00A53220"/>
    <w:rsid w:val="00A538E6"/>
    <w:rsid w:val="00A56102"/>
    <w:rsid w:val="00A56800"/>
    <w:rsid w:val="00A56D7E"/>
    <w:rsid w:val="00A57404"/>
    <w:rsid w:val="00A575BD"/>
    <w:rsid w:val="00A60EEC"/>
    <w:rsid w:val="00A63B83"/>
    <w:rsid w:val="00A65BD9"/>
    <w:rsid w:val="00A66718"/>
    <w:rsid w:val="00A671EF"/>
    <w:rsid w:val="00A70B31"/>
    <w:rsid w:val="00A73A74"/>
    <w:rsid w:val="00A759FE"/>
    <w:rsid w:val="00A75FE1"/>
    <w:rsid w:val="00A76D67"/>
    <w:rsid w:val="00A77562"/>
    <w:rsid w:val="00A776B8"/>
    <w:rsid w:val="00A81EB6"/>
    <w:rsid w:val="00A837FE"/>
    <w:rsid w:val="00A85357"/>
    <w:rsid w:val="00A902DD"/>
    <w:rsid w:val="00A91617"/>
    <w:rsid w:val="00A96FA8"/>
    <w:rsid w:val="00A9770A"/>
    <w:rsid w:val="00AA0A43"/>
    <w:rsid w:val="00AA0DD3"/>
    <w:rsid w:val="00AA1C07"/>
    <w:rsid w:val="00AA3688"/>
    <w:rsid w:val="00AA5887"/>
    <w:rsid w:val="00AB19F8"/>
    <w:rsid w:val="00AB2A61"/>
    <w:rsid w:val="00AB3A12"/>
    <w:rsid w:val="00AB5A8D"/>
    <w:rsid w:val="00AB6642"/>
    <w:rsid w:val="00AC2EFE"/>
    <w:rsid w:val="00AC3930"/>
    <w:rsid w:val="00AC3AB1"/>
    <w:rsid w:val="00AC68C6"/>
    <w:rsid w:val="00AC79C1"/>
    <w:rsid w:val="00AC7CA4"/>
    <w:rsid w:val="00AD438B"/>
    <w:rsid w:val="00AD493B"/>
    <w:rsid w:val="00AD4A64"/>
    <w:rsid w:val="00AD4D4E"/>
    <w:rsid w:val="00AD598F"/>
    <w:rsid w:val="00AD6D09"/>
    <w:rsid w:val="00AE07DA"/>
    <w:rsid w:val="00AE098E"/>
    <w:rsid w:val="00AE0BBA"/>
    <w:rsid w:val="00AE2291"/>
    <w:rsid w:val="00AE25C8"/>
    <w:rsid w:val="00AE2D94"/>
    <w:rsid w:val="00AE4113"/>
    <w:rsid w:val="00AE4380"/>
    <w:rsid w:val="00AE4FAC"/>
    <w:rsid w:val="00AE5525"/>
    <w:rsid w:val="00AE6381"/>
    <w:rsid w:val="00AE656F"/>
    <w:rsid w:val="00AE7D78"/>
    <w:rsid w:val="00AF3A0E"/>
    <w:rsid w:val="00AF41F6"/>
    <w:rsid w:val="00AF438E"/>
    <w:rsid w:val="00AF45CA"/>
    <w:rsid w:val="00AF5CEE"/>
    <w:rsid w:val="00AF7506"/>
    <w:rsid w:val="00B007DD"/>
    <w:rsid w:val="00B0098A"/>
    <w:rsid w:val="00B01016"/>
    <w:rsid w:val="00B0146E"/>
    <w:rsid w:val="00B02160"/>
    <w:rsid w:val="00B027CB"/>
    <w:rsid w:val="00B0352B"/>
    <w:rsid w:val="00B073E6"/>
    <w:rsid w:val="00B074F8"/>
    <w:rsid w:val="00B11A3D"/>
    <w:rsid w:val="00B121B0"/>
    <w:rsid w:val="00B13B87"/>
    <w:rsid w:val="00B17FAB"/>
    <w:rsid w:val="00B22C5F"/>
    <w:rsid w:val="00B23687"/>
    <w:rsid w:val="00B25710"/>
    <w:rsid w:val="00B27B03"/>
    <w:rsid w:val="00B31B62"/>
    <w:rsid w:val="00B3208E"/>
    <w:rsid w:val="00B33711"/>
    <w:rsid w:val="00B34889"/>
    <w:rsid w:val="00B37550"/>
    <w:rsid w:val="00B402C6"/>
    <w:rsid w:val="00B41DC1"/>
    <w:rsid w:val="00B42F69"/>
    <w:rsid w:val="00B46EC7"/>
    <w:rsid w:val="00B50A91"/>
    <w:rsid w:val="00B5160B"/>
    <w:rsid w:val="00B51761"/>
    <w:rsid w:val="00B51871"/>
    <w:rsid w:val="00B52022"/>
    <w:rsid w:val="00B52187"/>
    <w:rsid w:val="00B54691"/>
    <w:rsid w:val="00B60CCD"/>
    <w:rsid w:val="00B61E47"/>
    <w:rsid w:val="00B62854"/>
    <w:rsid w:val="00B62EF1"/>
    <w:rsid w:val="00B640CC"/>
    <w:rsid w:val="00B645B6"/>
    <w:rsid w:val="00B64B2F"/>
    <w:rsid w:val="00B667BF"/>
    <w:rsid w:val="00B674D6"/>
    <w:rsid w:val="00B6797D"/>
    <w:rsid w:val="00B735B8"/>
    <w:rsid w:val="00B74858"/>
    <w:rsid w:val="00B752EB"/>
    <w:rsid w:val="00B77BE4"/>
    <w:rsid w:val="00B812BE"/>
    <w:rsid w:val="00B813D5"/>
    <w:rsid w:val="00B8258D"/>
    <w:rsid w:val="00B825B4"/>
    <w:rsid w:val="00B84E7E"/>
    <w:rsid w:val="00B86608"/>
    <w:rsid w:val="00B87847"/>
    <w:rsid w:val="00B90477"/>
    <w:rsid w:val="00B92AA5"/>
    <w:rsid w:val="00B93904"/>
    <w:rsid w:val="00B955FE"/>
    <w:rsid w:val="00B96744"/>
    <w:rsid w:val="00BA0B9F"/>
    <w:rsid w:val="00BA0F47"/>
    <w:rsid w:val="00BA3287"/>
    <w:rsid w:val="00BA4957"/>
    <w:rsid w:val="00BA6419"/>
    <w:rsid w:val="00BA6550"/>
    <w:rsid w:val="00BB3642"/>
    <w:rsid w:val="00BB4A3B"/>
    <w:rsid w:val="00BB59F6"/>
    <w:rsid w:val="00BB5EF0"/>
    <w:rsid w:val="00BB66AB"/>
    <w:rsid w:val="00BC0AD6"/>
    <w:rsid w:val="00BC0F6B"/>
    <w:rsid w:val="00BC122E"/>
    <w:rsid w:val="00BC3584"/>
    <w:rsid w:val="00BC5838"/>
    <w:rsid w:val="00BC6DC2"/>
    <w:rsid w:val="00BE4ED6"/>
    <w:rsid w:val="00BE54F3"/>
    <w:rsid w:val="00BE5F67"/>
    <w:rsid w:val="00BE7920"/>
    <w:rsid w:val="00BF1E46"/>
    <w:rsid w:val="00BF2CD1"/>
    <w:rsid w:val="00BF4B6A"/>
    <w:rsid w:val="00BF5135"/>
    <w:rsid w:val="00C00312"/>
    <w:rsid w:val="00C009F5"/>
    <w:rsid w:val="00C01129"/>
    <w:rsid w:val="00C02239"/>
    <w:rsid w:val="00C022E1"/>
    <w:rsid w:val="00C02D5C"/>
    <w:rsid w:val="00C0398D"/>
    <w:rsid w:val="00C05404"/>
    <w:rsid w:val="00C05C3D"/>
    <w:rsid w:val="00C071AC"/>
    <w:rsid w:val="00C109A2"/>
    <w:rsid w:val="00C11E4C"/>
    <w:rsid w:val="00C14954"/>
    <w:rsid w:val="00C179B0"/>
    <w:rsid w:val="00C20245"/>
    <w:rsid w:val="00C20CA6"/>
    <w:rsid w:val="00C226F9"/>
    <w:rsid w:val="00C23398"/>
    <w:rsid w:val="00C23B23"/>
    <w:rsid w:val="00C2428B"/>
    <w:rsid w:val="00C26C22"/>
    <w:rsid w:val="00C27B03"/>
    <w:rsid w:val="00C3089B"/>
    <w:rsid w:val="00C34B40"/>
    <w:rsid w:val="00C35836"/>
    <w:rsid w:val="00C41CD3"/>
    <w:rsid w:val="00C43438"/>
    <w:rsid w:val="00C44264"/>
    <w:rsid w:val="00C46251"/>
    <w:rsid w:val="00C4790F"/>
    <w:rsid w:val="00C47FC0"/>
    <w:rsid w:val="00C5189F"/>
    <w:rsid w:val="00C528CC"/>
    <w:rsid w:val="00C53ABD"/>
    <w:rsid w:val="00C53AD3"/>
    <w:rsid w:val="00C53C94"/>
    <w:rsid w:val="00C57741"/>
    <w:rsid w:val="00C6074F"/>
    <w:rsid w:val="00C62568"/>
    <w:rsid w:val="00C64143"/>
    <w:rsid w:val="00C6434D"/>
    <w:rsid w:val="00C652E5"/>
    <w:rsid w:val="00C67446"/>
    <w:rsid w:val="00C70962"/>
    <w:rsid w:val="00C71674"/>
    <w:rsid w:val="00C7697F"/>
    <w:rsid w:val="00C8136C"/>
    <w:rsid w:val="00C82FAC"/>
    <w:rsid w:val="00C82FFA"/>
    <w:rsid w:val="00C84A1B"/>
    <w:rsid w:val="00C85521"/>
    <w:rsid w:val="00C856C0"/>
    <w:rsid w:val="00C863EE"/>
    <w:rsid w:val="00C92646"/>
    <w:rsid w:val="00C9316A"/>
    <w:rsid w:val="00C93B5E"/>
    <w:rsid w:val="00C95D8D"/>
    <w:rsid w:val="00C97C7F"/>
    <w:rsid w:val="00CA2283"/>
    <w:rsid w:val="00CA2AEF"/>
    <w:rsid w:val="00CA325F"/>
    <w:rsid w:val="00CA33B8"/>
    <w:rsid w:val="00CB1582"/>
    <w:rsid w:val="00CB22B7"/>
    <w:rsid w:val="00CB31DA"/>
    <w:rsid w:val="00CB5032"/>
    <w:rsid w:val="00CB7DF6"/>
    <w:rsid w:val="00CC303F"/>
    <w:rsid w:val="00CC3C96"/>
    <w:rsid w:val="00CD077C"/>
    <w:rsid w:val="00CD342A"/>
    <w:rsid w:val="00CD3940"/>
    <w:rsid w:val="00CE6A0B"/>
    <w:rsid w:val="00CF0950"/>
    <w:rsid w:val="00CF3B07"/>
    <w:rsid w:val="00CF4C13"/>
    <w:rsid w:val="00CF4CEC"/>
    <w:rsid w:val="00CF62E0"/>
    <w:rsid w:val="00CF6384"/>
    <w:rsid w:val="00CF6902"/>
    <w:rsid w:val="00D06E88"/>
    <w:rsid w:val="00D11F90"/>
    <w:rsid w:val="00D13527"/>
    <w:rsid w:val="00D15E4E"/>
    <w:rsid w:val="00D17601"/>
    <w:rsid w:val="00D20D6E"/>
    <w:rsid w:val="00D21300"/>
    <w:rsid w:val="00D22F7B"/>
    <w:rsid w:val="00D230DC"/>
    <w:rsid w:val="00D26C9A"/>
    <w:rsid w:val="00D303E8"/>
    <w:rsid w:val="00D31BA6"/>
    <w:rsid w:val="00D335E1"/>
    <w:rsid w:val="00D3545E"/>
    <w:rsid w:val="00D35FEA"/>
    <w:rsid w:val="00D366E4"/>
    <w:rsid w:val="00D423AC"/>
    <w:rsid w:val="00D44B15"/>
    <w:rsid w:val="00D44DC6"/>
    <w:rsid w:val="00D476EA"/>
    <w:rsid w:val="00D514E5"/>
    <w:rsid w:val="00D53589"/>
    <w:rsid w:val="00D539D5"/>
    <w:rsid w:val="00D544D5"/>
    <w:rsid w:val="00D57897"/>
    <w:rsid w:val="00D602DE"/>
    <w:rsid w:val="00D6096A"/>
    <w:rsid w:val="00D60ABE"/>
    <w:rsid w:val="00D60CE5"/>
    <w:rsid w:val="00D61811"/>
    <w:rsid w:val="00D63F9F"/>
    <w:rsid w:val="00D646D3"/>
    <w:rsid w:val="00D662F2"/>
    <w:rsid w:val="00D665F1"/>
    <w:rsid w:val="00D6711E"/>
    <w:rsid w:val="00D73575"/>
    <w:rsid w:val="00D73B08"/>
    <w:rsid w:val="00D74F89"/>
    <w:rsid w:val="00D80127"/>
    <w:rsid w:val="00D804E2"/>
    <w:rsid w:val="00D805D1"/>
    <w:rsid w:val="00D81FB3"/>
    <w:rsid w:val="00D82FD7"/>
    <w:rsid w:val="00D84FA6"/>
    <w:rsid w:val="00D85C5F"/>
    <w:rsid w:val="00D85ECC"/>
    <w:rsid w:val="00D864C7"/>
    <w:rsid w:val="00D86EB7"/>
    <w:rsid w:val="00D90C97"/>
    <w:rsid w:val="00D91E9F"/>
    <w:rsid w:val="00D92B5E"/>
    <w:rsid w:val="00D93388"/>
    <w:rsid w:val="00D93CFF"/>
    <w:rsid w:val="00D95457"/>
    <w:rsid w:val="00D97A7B"/>
    <w:rsid w:val="00DA1259"/>
    <w:rsid w:val="00DA1AAD"/>
    <w:rsid w:val="00DA1E08"/>
    <w:rsid w:val="00DA3148"/>
    <w:rsid w:val="00DA4A52"/>
    <w:rsid w:val="00DA4FBC"/>
    <w:rsid w:val="00DA7457"/>
    <w:rsid w:val="00DB1083"/>
    <w:rsid w:val="00DB2995"/>
    <w:rsid w:val="00DB2ED0"/>
    <w:rsid w:val="00DB38F0"/>
    <w:rsid w:val="00DB3EE8"/>
    <w:rsid w:val="00DB4701"/>
    <w:rsid w:val="00DB4E76"/>
    <w:rsid w:val="00DB59C0"/>
    <w:rsid w:val="00DC0146"/>
    <w:rsid w:val="00DC03EE"/>
    <w:rsid w:val="00DC36B8"/>
    <w:rsid w:val="00DC53F2"/>
    <w:rsid w:val="00DC6B01"/>
    <w:rsid w:val="00DC7797"/>
    <w:rsid w:val="00DC7E53"/>
    <w:rsid w:val="00DD078A"/>
    <w:rsid w:val="00DD1737"/>
    <w:rsid w:val="00DD34E1"/>
    <w:rsid w:val="00DD45E7"/>
    <w:rsid w:val="00DD71F6"/>
    <w:rsid w:val="00DD7667"/>
    <w:rsid w:val="00DD777C"/>
    <w:rsid w:val="00DE0D2F"/>
    <w:rsid w:val="00DE0D75"/>
    <w:rsid w:val="00DE19EB"/>
    <w:rsid w:val="00DE5B0F"/>
    <w:rsid w:val="00DF0FE3"/>
    <w:rsid w:val="00DF2CB1"/>
    <w:rsid w:val="00DF69F9"/>
    <w:rsid w:val="00E02579"/>
    <w:rsid w:val="00E02B50"/>
    <w:rsid w:val="00E04B3F"/>
    <w:rsid w:val="00E060C1"/>
    <w:rsid w:val="00E06B1E"/>
    <w:rsid w:val="00E07787"/>
    <w:rsid w:val="00E10AAF"/>
    <w:rsid w:val="00E147D5"/>
    <w:rsid w:val="00E14C0E"/>
    <w:rsid w:val="00E16642"/>
    <w:rsid w:val="00E1787C"/>
    <w:rsid w:val="00E2249E"/>
    <w:rsid w:val="00E22B76"/>
    <w:rsid w:val="00E234F1"/>
    <w:rsid w:val="00E241ED"/>
    <w:rsid w:val="00E24E3A"/>
    <w:rsid w:val="00E25AF8"/>
    <w:rsid w:val="00E26C55"/>
    <w:rsid w:val="00E26F6C"/>
    <w:rsid w:val="00E31BD0"/>
    <w:rsid w:val="00E34CA3"/>
    <w:rsid w:val="00E35C4A"/>
    <w:rsid w:val="00E37A0F"/>
    <w:rsid w:val="00E37DA6"/>
    <w:rsid w:val="00E37FE3"/>
    <w:rsid w:val="00E40EB7"/>
    <w:rsid w:val="00E43AAA"/>
    <w:rsid w:val="00E44C62"/>
    <w:rsid w:val="00E5071F"/>
    <w:rsid w:val="00E5387C"/>
    <w:rsid w:val="00E54EF2"/>
    <w:rsid w:val="00E57921"/>
    <w:rsid w:val="00E60DC5"/>
    <w:rsid w:val="00E63559"/>
    <w:rsid w:val="00E67180"/>
    <w:rsid w:val="00E676E2"/>
    <w:rsid w:val="00E74FA5"/>
    <w:rsid w:val="00E756A8"/>
    <w:rsid w:val="00E76032"/>
    <w:rsid w:val="00E768F2"/>
    <w:rsid w:val="00E77E9E"/>
    <w:rsid w:val="00E81DED"/>
    <w:rsid w:val="00E82316"/>
    <w:rsid w:val="00E825B3"/>
    <w:rsid w:val="00E849DE"/>
    <w:rsid w:val="00E85948"/>
    <w:rsid w:val="00E86536"/>
    <w:rsid w:val="00E9167E"/>
    <w:rsid w:val="00E922A4"/>
    <w:rsid w:val="00E925CE"/>
    <w:rsid w:val="00E93F3F"/>
    <w:rsid w:val="00E94B4B"/>
    <w:rsid w:val="00EA05D9"/>
    <w:rsid w:val="00EA1104"/>
    <w:rsid w:val="00EA5257"/>
    <w:rsid w:val="00EA59B6"/>
    <w:rsid w:val="00EA7415"/>
    <w:rsid w:val="00EB0433"/>
    <w:rsid w:val="00EB1B8B"/>
    <w:rsid w:val="00EB3C54"/>
    <w:rsid w:val="00EB4951"/>
    <w:rsid w:val="00EB595B"/>
    <w:rsid w:val="00EC098E"/>
    <w:rsid w:val="00EC0BCB"/>
    <w:rsid w:val="00EC0E71"/>
    <w:rsid w:val="00ED613A"/>
    <w:rsid w:val="00ED6CFA"/>
    <w:rsid w:val="00ED6D53"/>
    <w:rsid w:val="00EE1855"/>
    <w:rsid w:val="00EE2B68"/>
    <w:rsid w:val="00EE3733"/>
    <w:rsid w:val="00EE395E"/>
    <w:rsid w:val="00EE6D70"/>
    <w:rsid w:val="00EF1386"/>
    <w:rsid w:val="00EF2491"/>
    <w:rsid w:val="00EF256B"/>
    <w:rsid w:val="00EF2A05"/>
    <w:rsid w:val="00EF345A"/>
    <w:rsid w:val="00EF5277"/>
    <w:rsid w:val="00EF5CAD"/>
    <w:rsid w:val="00EF611F"/>
    <w:rsid w:val="00EF76E1"/>
    <w:rsid w:val="00F029AF"/>
    <w:rsid w:val="00F05E2A"/>
    <w:rsid w:val="00F1030E"/>
    <w:rsid w:val="00F10925"/>
    <w:rsid w:val="00F116D5"/>
    <w:rsid w:val="00F12F6C"/>
    <w:rsid w:val="00F13DAE"/>
    <w:rsid w:val="00F157D8"/>
    <w:rsid w:val="00F201AD"/>
    <w:rsid w:val="00F21481"/>
    <w:rsid w:val="00F21B21"/>
    <w:rsid w:val="00F222BB"/>
    <w:rsid w:val="00F2491A"/>
    <w:rsid w:val="00F24EF6"/>
    <w:rsid w:val="00F254E4"/>
    <w:rsid w:val="00F26F5D"/>
    <w:rsid w:val="00F34C92"/>
    <w:rsid w:val="00F355A8"/>
    <w:rsid w:val="00F35D19"/>
    <w:rsid w:val="00F377AE"/>
    <w:rsid w:val="00F41269"/>
    <w:rsid w:val="00F41319"/>
    <w:rsid w:val="00F44B13"/>
    <w:rsid w:val="00F45BE7"/>
    <w:rsid w:val="00F463D7"/>
    <w:rsid w:val="00F50163"/>
    <w:rsid w:val="00F510E2"/>
    <w:rsid w:val="00F515F1"/>
    <w:rsid w:val="00F5273A"/>
    <w:rsid w:val="00F52D6B"/>
    <w:rsid w:val="00F52E18"/>
    <w:rsid w:val="00F546FB"/>
    <w:rsid w:val="00F55335"/>
    <w:rsid w:val="00F55CF7"/>
    <w:rsid w:val="00F57D1C"/>
    <w:rsid w:val="00F6086A"/>
    <w:rsid w:val="00F6169B"/>
    <w:rsid w:val="00F62824"/>
    <w:rsid w:val="00F62D7C"/>
    <w:rsid w:val="00F634C8"/>
    <w:rsid w:val="00F67155"/>
    <w:rsid w:val="00F7058F"/>
    <w:rsid w:val="00F70D21"/>
    <w:rsid w:val="00F70FEF"/>
    <w:rsid w:val="00F73F06"/>
    <w:rsid w:val="00F74F3A"/>
    <w:rsid w:val="00F75C02"/>
    <w:rsid w:val="00F77ECB"/>
    <w:rsid w:val="00F81BF8"/>
    <w:rsid w:val="00F81E47"/>
    <w:rsid w:val="00F824EF"/>
    <w:rsid w:val="00F84408"/>
    <w:rsid w:val="00F86474"/>
    <w:rsid w:val="00F868B4"/>
    <w:rsid w:val="00F8730A"/>
    <w:rsid w:val="00F9016F"/>
    <w:rsid w:val="00F90601"/>
    <w:rsid w:val="00F93703"/>
    <w:rsid w:val="00FA78FD"/>
    <w:rsid w:val="00FA7C96"/>
    <w:rsid w:val="00FB11BE"/>
    <w:rsid w:val="00FB1357"/>
    <w:rsid w:val="00FB1799"/>
    <w:rsid w:val="00FB1B56"/>
    <w:rsid w:val="00FB27F1"/>
    <w:rsid w:val="00FB4C6F"/>
    <w:rsid w:val="00FC5E76"/>
    <w:rsid w:val="00FC69CF"/>
    <w:rsid w:val="00FC7214"/>
    <w:rsid w:val="00FD058F"/>
    <w:rsid w:val="00FD0B70"/>
    <w:rsid w:val="00FD11B8"/>
    <w:rsid w:val="00FD1440"/>
    <w:rsid w:val="00FD1489"/>
    <w:rsid w:val="00FD17D7"/>
    <w:rsid w:val="00FD2DA9"/>
    <w:rsid w:val="00FD35FA"/>
    <w:rsid w:val="00FD59F1"/>
    <w:rsid w:val="00FD6FE2"/>
    <w:rsid w:val="00FD74CB"/>
    <w:rsid w:val="00FD7543"/>
    <w:rsid w:val="00FD7BF5"/>
    <w:rsid w:val="00FE185C"/>
    <w:rsid w:val="00FE3C5F"/>
    <w:rsid w:val="00FE401B"/>
    <w:rsid w:val="00FE4705"/>
    <w:rsid w:val="00FE557C"/>
    <w:rsid w:val="00FF4C3A"/>
    <w:rsid w:val="00FF62F4"/>
    <w:rsid w:val="00FF651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BE" w:eastAsia="fr-B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D16"/>
    <w:pPr>
      <w:tabs>
        <w:tab w:val="left" w:pos="567"/>
      </w:tabs>
      <w:spacing w:line="260" w:lineRule="exact"/>
    </w:pPr>
    <w:rPr>
      <w:rFonts w:eastAsia="Times New Roman"/>
      <w:sz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513DE"/>
    <w:pPr>
      <w:tabs>
        <w:tab w:val="center" w:pos="4536"/>
        <w:tab w:val="right" w:pos="8306"/>
      </w:tabs>
    </w:pPr>
    <w:rPr>
      <w:rFonts w:ascii="Arial" w:hAnsi="Arial"/>
      <w:noProof/>
      <w:sz w:val="16"/>
    </w:rPr>
  </w:style>
  <w:style w:type="paragraph" w:styleId="Header">
    <w:name w:val="header"/>
    <w:basedOn w:val="Normal"/>
    <w:rsid w:val="009513DE"/>
    <w:pPr>
      <w:tabs>
        <w:tab w:val="center" w:pos="4153"/>
        <w:tab w:val="right" w:pos="8306"/>
      </w:tabs>
    </w:pPr>
    <w:rPr>
      <w:rFonts w:ascii="Arial" w:hAnsi="Arial"/>
      <w:sz w:val="20"/>
    </w:rPr>
  </w:style>
  <w:style w:type="paragraph" w:customStyle="1" w:styleId="MemoHeaderStyle">
    <w:name w:val="MemoHeaderStyle"/>
    <w:basedOn w:val="Normal"/>
    <w:next w:val="Normal"/>
    <w:rsid w:val="009513DE"/>
    <w:pPr>
      <w:spacing w:line="120" w:lineRule="atLeast"/>
      <w:ind w:left="1418"/>
      <w:jc w:val="both"/>
    </w:pPr>
    <w:rPr>
      <w:rFonts w:ascii="Arial" w:hAnsi="Arial"/>
      <w:b/>
      <w:smallCaps/>
    </w:rPr>
  </w:style>
  <w:style w:type="character" w:styleId="PageNumber">
    <w:name w:val="page number"/>
    <w:basedOn w:val="DefaultParagraphFont"/>
    <w:rsid w:val="00812D16"/>
  </w:style>
  <w:style w:type="paragraph" w:styleId="BodyText">
    <w:name w:val="Body Text"/>
    <w:basedOn w:val="Normal"/>
    <w:rsid w:val="00812D16"/>
    <w:pPr>
      <w:tabs>
        <w:tab w:val="clear" w:pos="567"/>
      </w:tabs>
      <w:spacing w:line="240" w:lineRule="auto"/>
    </w:pPr>
    <w:rPr>
      <w:i/>
      <w:color w:val="008000"/>
    </w:rPr>
  </w:style>
  <w:style w:type="paragraph" w:styleId="CommentText">
    <w:name w:val="annotation text"/>
    <w:basedOn w:val="Normal"/>
    <w:link w:val="CommentTextChar"/>
    <w:semiHidden/>
    <w:rsid w:val="00812D16"/>
    <w:rPr>
      <w:sz w:val="20"/>
    </w:rPr>
  </w:style>
  <w:style w:type="character" w:styleId="Hyperlink">
    <w:name w:val="Hyperlink"/>
    <w:rsid w:val="00812D16"/>
    <w:rPr>
      <w:color w:val="0000FF"/>
      <w:u w:val="single"/>
    </w:rPr>
  </w:style>
  <w:style w:type="paragraph" w:customStyle="1" w:styleId="EMEAEnBodyText">
    <w:name w:val="EMEA En Body Text"/>
    <w:basedOn w:val="Normal"/>
    <w:rsid w:val="00812D16"/>
    <w:pPr>
      <w:tabs>
        <w:tab w:val="clear" w:pos="567"/>
      </w:tabs>
      <w:spacing w:before="120" w:after="120" w:line="240" w:lineRule="auto"/>
      <w:jc w:val="both"/>
    </w:pPr>
    <w:rPr>
      <w:lang w:val="en-US"/>
    </w:rPr>
  </w:style>
  <w:style w:type="paragraph" w:styleId="BalloonText">
    <w:name w:val="Balloon Text"/>
    <w:basedOn w:val="Normal"/>
    <w:semiHidden/>
    <w:rsid w:val="00A20C7F"/>
    <w:rPr>
      <w:rFonts w:ascii="Tahoma" w:hAnsi="Tahoma" w:cs="Tahoma"/>
      <w:sz w:val="16"/>
      <w:szCs w:val="16"/>
    </w:rPr>
  </w:style>
  <w:style w:type="paragraph" w:customStyle="1" w:styleId="BodytextAgency">
    <w:name w:val="Body text (Agency)"/>
    <w:basedOn w:val="Normal"/>
    <w:link w:val="BodytextAgencyChar"/>
    <w:rsid w:val="00345F9C"/>
    <w:pPr>
      <w:tabs>
        <w:tab w:val="clear" w:pos="567"/>
      </w:tabs>
      <w:spacing w:after="140" w:line="280" w:lineRule="atLeast"/>
    </w:pPr>
    <w:rPr>
      <w:rFonts w:ascii="Verdana" w:eastAsia="Verdana" w:hAnsi="Verdana" w:cs="Verdana"/>
      <w:sz w:val="18"/>
      <w:szCs w:val="18"/>
      <w:lang w:eastAsia="en-GB"/>
    </w:rPr>
  </w:style>
  <w:style w:type="character" w:customStyle="1" w:styleId="BodytextAgencyChar">
    <w:name w:val="Body text (Agency) Char"/>
    <w:link w:val="BodytextAgency"/>
    <w:rsid w:val="00345F9C"/>
    <w:rPr>
      <w:rFonts w:ascii="Verdana" w:eastAsia="Verdana" w:hAnsi="Verdana" w:cs="Verdana"/>
      <w:sz w:val="18"/>
      <w:szCs w:val="18"/>
      <w:lang w:val="en-GB" w:eastAsia="en-GB" w:bidi="ar-SA"/>
    </w:rPr>
  </w:style>
  <w:style w:type="paragraph" w:customStyle="1" w:styleId="DraftingNotesAgency">
    <w:name w:val="Drafting Notes (Agency)"/>
    <w:basedOn w:val="Normal"/>
    <w:next w:val="BodytextAgency"/>
    <w:link w:val="DraftingNotesAgencyChar"/>
    <w:rsid w:val="00345F9C"/>
    <w:pPr>
      <w:tabs>
        <w:tab w:val="clear" w:pos="567"/>
      </w:tabs>
      <w:spacing w:after="140" w:line="280" w:lineRule="atLeast"/>
    </w:pPr>
    <w:rPr>
      <w:rFonts w:ascii="Courier New" w:eastAsia="Verdana" w:hAnsi="Courier New"/>
      <w:i/>
      <w:color w:val="339966"/>
      <w:szCs w:val="18"/>
      <w:lang w:eastAsia="en-GB"/>
    </w:rPr>
  </w:style>
  <w:style w:type="character" w:customStyle="1" w:styleId="DraftingNotesAgencyChar">
    <w:name w:val="Drafting Notes (Agency) Char"/>
    <w:link w:val="DraftingNotesAgency"/>
    <w:rsid w:val="00345F9C"/>
    <w:rPr>
      <w:rFonts w:ascii="Courier New" w:eastAsia="Verdana" w:hAnsi="Courier New"/>
      <w:i/>
      <w:color w:val="339966"/>
      <w:sz w:val="22"/>
      <w:szCs w:val="18"/>
      <w:lang w:val="en-GB" w:eastAsia="en-GB" w:bidi="ar-SA"/>
    </w:rPr>
  </w:style>
  <w:style w:type="paragraph" w:customStyle="1" w:styleId="NormalAgency">
    <w:name w:val="Normal (Agency)"/>
    <w:link w:val="NormalAgencyChar"/>
    <w:rsid w:val="00C179B0"/>
    <w:rPr>
      <w:rFonts w:ascii="Verdana" w:eastAsia="Verdana" w:hAnsi="Verdana" w:cs="Verdana"/>
      <w:sz w:val="18"/>
      <w:szCs w:val="18"/>
      <w:lang w:val="en-GB" w:eastAsia="en-GB"/>
    </w:rPr>
  </w:style>
  <w:style w:type="table" w:customStyle="1" w:styleId="TablegridAgencyblack">
    <w:name w:val="Table grid (Agency) black"/>
    <w:basedOn w:val="TableNormal"/>
    <w:semiHidden/>
    <w:rsid w:val="00C179B0"/>
    <w:rPr>
      <w:rFonts w:ascii="Verdana" w:hAnsi="Verdana"/>
      <w:sz w:val="18"/>
    </w:rPr>
    <w:tblP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left w:w="108" w:type="dxa"/>
        <w:bottom w:w="0" w:type="dxa"/>
        <w:right w:w="108" w:type="dxa"/>
      </w:tblCellMar>
    </w:tblPr>
    <w:tcPr>
      <w:shd w:val="clear" w:color="auto" w:fill="auto"/>
    </w:tcPr>
    <w:tblStylePr w:type="firstRow">
      <w:rPr>
        <w:rFonts w:ascii="Verdana" w:hAnsi="Verdana"/>
        <w:b/>
        <w:i w:val="0"/>
        <w:color w:val="auto"/>
        <w:sz w:val="18"/>
        <w:szCs w:val="18"/>
      </w:rPr>
      <w:tblPr/>
      <w:trPr>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auto"/>
      </w:tcPr>
    </w:tblStylePr>
  </w:style>
  <w:style w:type="paragraph" w:customStyle="1" w:styleId="TableheadingrowsAgency">
    <w:name w:val="Table heading rows (Agency)"/>
    <w:basedOn w:val="BodytextAgency"/>
    <w:rsid w:val="00C179B0"/>
    <w:pPr>
      <w:keepNext/>
    </w:pPr>
    <w:rPr>
      <w:rFonts w:eastAsia="Times New Roman"/>
      <w:b/>
    </w:rPr>
  </w:style>
  <w:style w:type="paragraph" w:customStyle="1" w:styleId="TabletextrowsAgency">
    <w:name w:val="Table text rows (Agency)"/>
    <w:basedOn w:val="Normal"/>
    <w:rsid w:val="00C179B0"/>
    <w:pPr>
      <w:tabs>
        <w:tab w:val="clear" w:pos="567"/>
      </w:tabs>
      <w:spacing w:line="280" w:lineRule="exact"/>
    </w:pPr>
    <w:rPr>
      <w:rFonts w:ascii="Verdana" w:hAnsi="Verdana" w:cs="Verdana"/>
      <w:sz w:val="18"/>
      <w:szCs w:val="18"/>
      <w:lang w:eastAsia="zh-CN"/>
    </w:rPr>
  </w:style>
  <w:style w:type="character" w:customStyle="1" w:styleId="NormalAgencyChar">
    <w:name w:val="Normal (Agency) Char"/>
    <w:link w:val="NormalAgency"/>
    <w:rsid w:val="00C179B0"/>
    <w:rPr>
      <w:rFonts w:ascii="Verdana" w:eastAsia="Verdana" w:hAnsi="Verdana" w:cs="Verdana"/>
      <w:sz w:val="18"/>
      <w:szCs w:val="18"/>
      <w:lang w:val="en-GB" w:eastAsia="en-GB" w:bidi="ar-SA"/>
    </w:rPr>
  </w:style>
  <w:style w:type="character" w:styleId="CommentReference">
    <w:name w:val="annotation reference"/>
    <w:rsid w:val="00BC6DC2"/>
    <w:rPr>
      <w:sz w:val="16"/>
      <w:szCs w:val="16"/>
    </w:rPr>
  </w:style>
  <w:style w:type="paragraph" w:styleId="CommentSubject">
    <w:name w:val="annotation subject"/>
    <w:basedOn w:val="CommentText"/>
    <w:next w:val="CommentText"/>
    <w:link w:val="CommentSubjectChar"/>
    <w:rsid w:val="00BC6DC2"/>
    <w:rPr>
      <w:b/>
      <w:bCs/>
    </w:rPr>
  </w:style>
  <w:style w:type="character" w:customStyle="1" w:styleId="CommentTextChar">
    <w:name w:val="Comment Text Char"/>
    <w:link w:val="CommentText"/>
    <w:semiHidden/>
    <w:rsid w:val="00BC6DC2"/>
    <w:rPr>
      <w:rFonts w:eastAsia="Times New Roman"/>
      <w:lang w:eastAsia="en-US"/>
    </w:rPr>
  </w:style>
  <w:style w:type="character" w:customStyle="1" w:styleId="CommentSubjectChar">
    <w:name w:val="Comment Subject Char"/>
    <w:link w:val="CommentSubject"/>
    <w:rsid w:val="00BC6DC2"/>
    <w:rPr>
      <w:rFonts w:eastAsia="Times New Roman"/>
      <w:b/>
      <w:bCs/>
      <w:lang w:eastAsia="en-US"/>
    </w:rPr>
  </w:style>
  <w:style w:type="character" w:styleId="FollowedHyperlink">
    <w:name w:val="FollowedHyperlink"/>
    <w:basedOn w:val="DefaultParagraphFont"/>
    <w:rsid w:val="00CF4CEC"/>
    <w:rPr>
      <w:color w:val="800080" w:themeColor="followedHyperlink"/>
      <w:u w:val="single"/>
    </w:rPr>
  </w:style>
  <w:style w:type="paragraph" w:styleId="ListParagraph">
    <w:name w:val="List Paragraph"/>
    <w:basedOn w:val="Normal"/>
    <w:uiPriority w:val="34"/>
    <w:qFormat/>
    <w:rsid w:val="009F78FD"/>
    <w:pPr>
      <w:tabs>
        <w:tab w:val="clear" w:pos="567"/>
      </w:tabs>
      <w:spacing w:after="200" w:line="276" w:lineRule="auto"/>
      <w:ind w:left="720"/>
      <w:contextualSpacing/>
    </w:pPr>
    <w:rPr>
      <w:rFonts w:asciiTheme="minorHAnsi" w:eastAsiaTheme="minorHAnsi" w:hAnsiTheme="minorHAnsi" w:cstheme="minorBidi"/>
      <w:szCs w:val="22"/>
      <w:lang w:val="fr-FR"/>
    </w:rPr>
  </w:style>
  <w:style w:type="character" w:styleId="PlaceholderText">
    <w:name w:val="Placeholder Text"/>
    <w:basedOn w:val="DefaultParagraphFont"/>
    <w:uiPriority w:val="99"/>
    <w:semiHidden/>
    <w:rsid w:val="00BA4957"/>
    <w:rPr>
      <w:color w:val="808080"/>
    </w:rPr>
  </w:style>
  <w:style w:type="paragraph" w:customStyle="1" w:styleId="Default">
    <w:name w:val="Default"/>
    <w:rsid w:val="004B7E2F"/>
    <w:pPr>
      <w:autoSpaceDE w:val="0"/>
      <w:autoSpaceDN w:val="0"/>
      <w:adjustRightInd w:val="0"/>
    </w:pPr>
    <w:rPr>
      <w:color w:val="000000"/>
      <w:sz w:val="24"/>
      <w:szCs w:val="24"/>
    </w:rPr>
  </w:style>
  <w:style w:type="table" w:styleId="TableGrid">
    <w:name w:val="Table Grid"/>
    <w:basedOn w:val="TableNormal"/>
    <w:rsid w:val="003C78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6E78D4"/>
    <w:pPr>
      <w:spacing w:after="120" w:line="480" w:lineRule="auto"/>
    </w:pPr>
  </w:style>
  <w:style w:type="character" w:customStyle="1" w:styleId="BodyText2Char">
    <w:name w:val="Body Text 2 Char"/>
    <w:basedOn w:val="DefaultParagraphFont"/>
    <w:link w:val="BodyText2"/>
    <w:rsid w:val="006E78D4"/>
    <w:rPr>
      <w:rFonts w:eastAsia="Times New Roman"/>
      <w:sz w:val="22"/>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fr-BE" w:eastAsia="fr-B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D16"/>
    <w:pPr>
      <w:tabs>
        <w:tab w:val="left" w:pos="567"/>
      </w:tabs>
      <w:spacing w:line="260" w:lineRule="exact"/>
    </w:pPr>
    <w:rPr>
      <w:rFonts w:eastAsia="Times New Roman"/>
      <w:sz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513DE"/>
    <w:pPr>
      <w:tabs>
        <w:tab w:val="center" w:pos="4536"/>
        <w:tab w:val="right" w:pos="8306"/>
      </w:tabs>
    </w:pPr>
    <w:rPr>
      <w:rFonts w:ascii="Arial" w:hAnsi="Arial"/>
      <w:noProof/>
      <w:sz w:val="16"/>
    </w:rPr>
  </w:style>
  <w:style w:type="paragraph" w:styleId="Header">
    <w:name w:val="header"/>
    <w:basedOn w:val="Normal"/>
    <w:rsid w:val="009513DE"/>
    <w:pPr>
      <w:tabs>
        <w:tab w:val="center" w:pos="4153"/>
        <w:tab w:val="right" w:pos="8306"/>
      </w:tabs>
    </w:pPr>
    <w:rPr>
      <w:rFonts w:ascii="Arial" w:hAnsi="Arial"/>
      <w:sz w:val="20"/>
    </w:rPr>
  </w:style>
  <w:style w:type="paragraph" w:customStyle="1" w:styleId="MemoHeaderStyle">
    <w:name w:val="MemoHeaderStyle"/>
    <w:basedOn w:val="Normal"/>
    <w:next w:val="Normal"/>
    <w:rsid w:val="009513DE"/>
    <w:pPr>
      <w:spacing w:line="120" w:lineRule="atLeast"/>
      <w:ind w:left="1418"/>
      <w:jc w:val="both"/>
    </w:pPr>
    <w:rPr>
      <w:rFonts w:ascii="Arial" w:hAnsi="Arial"/>
      <w:b/>
      <w:smallCaps/>
    </w:rPr>
  </w:style>
  <w:style w:type="character" w:styleId="PageNumber">
    <w:name w:val="page number"/>
    <w:basedOn w:val="DefaultParagraphFont"/>
    <w:rsid w:val="00812D16"/>
  </w:style>
  <w:style w:type="paragraph" w:styleId="BodyText">
    <w:name w:val="Body Text"/>
    <w:basedOn w:val="Normal"/>
    <w:rsid w:val="00812D16"/>
    <w:pPr>
      <w:tabs>
        <w:tab w:val="clear" w:pos="567"/>
      </w:tabs>
      <w:spacing w:line="240" w:lineRule="auto"/>
    </w:pPr>
    <w:rPr>
      <w:i/>
      <w:color w:val="008000"/>
    </w:rPr>
  </w:style>
  <w:style w:type="paragraph" w:styleId="CommentText">
    <w:name w:val="annotation text"/>
    <w:basedOn w:val="Normal"/>
    <w:link w:val="CommentTextChar"/>
    <w:semiHidden/>
    <w:rsid w:val="00812D16"/>
    <w:rPr>
      <w:sz w:val="20"/>
    </w:rPr>
  </w:style>
  <w:style w:type="character" w:styleId="Hyperlink">
    <w:name w:val="Hyperlink"/>
    <w:rsid w:val="00812D16"/>
    <w:rPr>
      <w:color w:val="0000FF"/>
      <w:u w:val="single"/>
    </w:rPr>
  </w:style>
  <w:style w:type="paragraph" w:customStyle="1" w:styleId="EMEAEnBodyText">
    <w:name w:val="EMEA En Body Text"/>
    <w:basedOn w:val="Normal"/>
    <w:rsid w:val="00812D16"/>
    <w:pPr>
      <w:tabs>
        <w:tab w:val="clear" w:pos="567"/>
      </w:tabs>
      <w:spacing w:before="120" w:after="120" w:line="240" w:lineRule="auto"/>
      <w:jc w:val="both"/>
    </w:pPr>
    <w:rPr>
      <w:lang w:val="en-US"/>
    </w:rPr>
  </w:style>
  <w:style w:type="paragraph" w:styleId="BalloonText">
    <w:name w:val="Balloon Text"/>
    <w:basedOn w:val="Normal"/>
    <w:semiHidden/>
    <w:rsid w:val="00A20C7F"/>
    <w:rPr>
      <w:rFonts w:ascii="Tahoma" w:hAnsi="Tahoma" w:cs="Tahoma"/>
      <w:sz w:val="16"/>
      <w:szCs w:val="16"/>
    </w:rPr>
  </w:style>
  <w:style w:type="paragraph" w:customStyle="1" w:styleId="BodytextAgency">
    <w:name w:val="Body text (Agency)"/>
    <w:basedOn w:val="Normal"/>
    <w:link w:val="BodytextAgencyChar"/>
    <w:rsid w:val="00345F9C"/>
    <w:pPr>
      <w:tabs>
        <w:tab w:val="clear" w:pos="567"/>
      </w:tabs>
      <w:spacing w:after="140" w:line="280" w:lineRule="atLeast"/>
    </w:pPr>
    <w:rPr>
      <w:rFonts w:ascii="Verdana" w:eastAsia="Verdana" w:hAnsi="Verdana" w:cs="Verdana"/>
      <w:sz w:val="18"/>
      <w:szCs w:val="18"/>
      <w:lang w:eastAsia="en-GB"/>
    </w:rPr>
  </w:style>
  <w:style w:type="character" w:customStyle="1" w:styleId="BodytextAgencyChar">
    <w:name w:val="Body text (Agency) Char"/>
    <w:link w:val="BodytextAgency"/>
    <w:rsid w:val="00345F9C"/>
    <w:rPr>
      <w:rFonts w:ascii="Verdana" w:eastAsia="Verdana" w:hAnsi="Verdana" w:cs="Verdana"/>
      <w:sz w:val="18"/>
      <w:szCs w:val="18"/>
      <w:lang w:val="en-GB" w:eastAsia="en-GB" w:bidi="ar-SA"/>
    </w:rPr>
  </w:style>
  <w:style w:type="paragraph" w:customStyle="1" w:styleId="DraftingNotesAgency">
    <w:name w:val="Drafting Notes (Agency)"/>
    <w:basedOn w:val="Normal"/>
    <w:next w:val="BodytextAgency"/>
    <w:link w:val="DraftingNotesAgencyChar"/>
    <w:rsid w:val="00345F9C"/>
    <w:pPr>
      <w:tabs>
        <w:tab w:val="clear" w:pos="567"/>
      </w:tabs>
      <w:spacing w:after="140" w:line="280" w:lineRule="atLeast"/>
    </w:pPr>
    <w:rPr>
      <w:rFonts w:ascii="Courier New" w:eastAsia="Verdana" w:hAnsi="Courier New"/>
      <w:i/>
      <w:color w:val="339966"/>
      <w:szCs w:val="18"/>
      <w:lang w:eastAsia="en-GB"/>
    </w:rPr>
  </w:style>
  <w:style w:type="character" w:customStyle="1" w:styleId="DraftingNotesAgencyChar">
    <w:name w:val="Drafting Notes (Agency) Char"/>
    <w:link w:val="DraftingNotesAgency"/>
    <w:rsid w:val="00345F9C"/>
    <w:rPr>
      <w:rFonts w:ascii="Courier New" w:eastAsia="Verdana" w:hAnsi="Courier New"/>
      <w:i/>
      <w:color w:val="339966"/>
      <w:sz w:val="22"/>
      <w:szCs w:val="18"/>
      <w:lang w:val="en-GB" w:eastAsia="en-GB" w:bidi="ar-SA"/>
    </w:rPr>
  </w:style>
  <w:style w:type="paragraph" w:customStyle="1" w:styleId="NormalAgency">
    <w:name w:val="Normal (Agency)"/>
    <w:link w:val="NormalAgencyChar"/>
    <w:rsid w:val="00C179B0"/>
    <w:rPr>
      <w:rFonts w:ascii="Verdana" w:eastAsia="Verdana" w:hAnsi="Verdana" w:cs="Verdana"/>
      <w:sz w:val="18"/>
      <w:szCs w:val="18"/>
      <w:lang w:val="en-GB" w:eastAsia="en-GB"/>
    </w:rPr>
  </w:style>
  <w:style w:type="table" w:customStyle="1" w:styleId="TablegridAgencyblack">
    <w:name w:val="Table grid (Agency) black"/>
    <w:basedOn w:val="TableNormal"/>
    <w:semiHidden/>
    <w:rsid w:val="00C179B0"/>
    <w:rPr>
      <w:rFonts w:ascii="Verdana" w:hAnsi="Verdana"/>
      <w:sz w:val="18"/>
    </w:rPr>
    <w:tblP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left w:w="108" w:type="dxa"/>
        <w:bottom w:w="0" w:type="dxa"/>
        <w:right w:w="108" w:type="dxa"/>
      </w:tblCellMar>
    </w:tblPr>
    <w:tcPr>
      <w:shd w:val="clear" w:color="auto" w:fill="auto"/>
    </w:tcPr>
    <w:tblStylePr w:type="firstRow">
      <w:rPr>
        <w:rFonts w:ascii="Verdana" w:hAnsi="Verdana"/>
        <w:b/>
        <w:i w:val="0"/>
        <w:color w:val="auto"/>
        <w:sz w:val="18"/>
        <w:szCs w:val="18"/>
      </w:rPr>
      <w:tblPr/>
      <w:trPr>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auto"/>
      </w:tcPr>
    </w:tblStylePr>
  </w:style>
  <w:style w:type="paragraph" w:customStyle="1" w:styleId="TableheadingrowsAgency">
    <w:name w:val="Table heading rows (Agency)"/>
    <w:basedOn w:val="BodytextAgency"/>
    <w:rsid w:val="00C179B0"/>
    <w:pPr>
      <w:keepNext/>
    </w:pPr>
    <w:rPr>
      <w:rFonts w:eastAsia="Times New Roman"/>
      <w:b/>
    </w:rPr>
  </w:style>
  <w:style w:type="paragraph" w:customStyle="1" w:styleId="TabletextrowsAgency">
    <w:name w:val="Table text rows (Agency)"/>
    <w:basedOn w:val="Normal"/>
    <w:rsid w:val="00C179B0"/>
    <w:pPr>
      <w:tabs>
        <w:tab w:val="clear" w:pos="567"/>
      </w:tabs>
      <w:spacing w:line="280" w:lineRule="exact"/>
    </w:pPr>
    <w:rPr>
      <w:rFonts w:ascii="Verdana" w:hAnsi="Verdana" w:cs="Verdana"/>
      <w:sz w:val="18"/>
      <w:szCs w:val="18"/>
      <w:lang w:eastAsia="zh-CN"/>
    </w:rPr>
  </w:style>
  <w:style w:type="character" w:customStyle="1" w:styleId="NormalAgencyChar">
    <w:name w:val="Normal (Agency) Char"/>
    <w:link w:val="NormalAgency"/>
    <w:rsid w:val="00C179B0"/>
    <w:rPr>
      <w:rFonts w:ascii="Verdana" w:eastAsia="Verdana" w:hAnsi="Verdana" w:cs="Verdana"/>
      <w:sz w:val="18"/>
      <w:szCs w:val="18"/>
      <w:lang w:val="en-GB" w:eastAsia="en-GB" w:bidi="ar-SA"/>
    </w:rPr>
  </w:style>
  <w:style w:type="character" w:styleId="CommentReference">
    <w:name w:val="annotation reference"/>
    <w:rsid w:val="00BC6DC2"/>
    <w:rPr>
      <w:sz w:val="16"/>
      <w:szCs w:val="16"/>
    </w:rPr>
  </w:style>
  <w:style w:type="paragraph" w:styleId="CommentSubject">
    <w:name w:val="annotation subject"/>
    <w:basedOn w:val="CommentText"/>
    <w:next w:val="CommentText"/>
    <w:link w:val="CommentSubjectChar"/>
    <w:rsid w:val="00BC6DC2"/>
    <w:rPr>
      <w:b/>
      <w:bCs/>
    </w:rPr>
  </w:style>
  <w:style w:type="character" w:customStyle="1" w:styleId="CommentTextChar">
    <w:name w:val="Comment Text Char"/>
    <w:link w:val="CommentText"/>
    <w:semiHidden/>
    <w:rsid w:val="00BC6DC2"/>
    <w:rPr>
      <w:rFonts w:eastAsia="Times New Roman"/>
      <w:lang w:eastAsia="en-US"/>
    </w:rPr>
  </w:style>
  <w:style w:type="character" w:customStyle="1" w:styleId="CommentSubjectChar">
    <w:name w:val="Comment Subject Char"/>
    <w:link w:val="CommentSubject"/>
    <w:rsid w:val="00BC6DC2"/>
    <w:rPr>
      <w:rFonts w:eastAsia="Times New Roman"/>
      <w:b/>
      <w:bCs/>
      <w:lang w:eastAsia="en-US"/>
    </w:rPr>
  </w:style>
  <w:style w:type="character" w:styleId="FollowedHyperlink">
    <w:name w:val="FollowedHyperlink"/>
    <w:basedOn w:val="DefaultParagraphFont"/>
    <w:rsid w:val="00CF4CEC"/>
    <w:rPr>
      <w:color w:val="800080" w:themeColor="followedHyperlink"/>
      <w:u w:val="single"/>
    </w:rPr>
  </w:style>
  <w:style w:type="paragraph" w:styleId="ListParagraph">
    <w:name w:val="List Paragraph"/>
    <w:basedOn w:val="Normal"/>
    <w:uiPriority w:val="34"/>
    <w:qFormat/>
    <w:rsid w:val="009F78FD"/>
    <w:pPr>
      <w:tabs>
        <w:tab w:val="clear" w:pos="567"/>
      </w:tabs>
      <w:spacing w:after="200" w:line="276" w:lineRule="auto"/>
      <w:ind w:left="720"/>
      <w:contextualSpacing/>
    </w:pPr>
    <w:rPr>
      <w:rFonts w:asciiTheme="minorHAnsi" w:eastAsiaTheme="minorHAnsi" w:hAnsiTheme="minorHAnsi" w:cstheme="minorBidi"/>
      <w:szCs w:val="22"/>
      <w:lang w:val="fr-FR"/>
    </w:rPr>
  </w:style>
  <w:style w:type="character" w:styleId="PlaceholderText">
    <w:name w:val="Placeholder Text"/>
    <w:basedOn w:val="DefaultParagraphFont"/>
    <w:uiPriority w:val="99"/>
    <w:semiHidden/>
    <w:rsid w:val="00BA4957"/>
    <w:rPr>
      <w:color w:val="808080"/>
    </w:rPr>
  </w:style>
  <w:style w:type="paragraph" w:customStyle="1" w:styleId="Default">
    <w:name w:val="Default"/>
    <w:rsid w:val="004B7E2F"/>
    <w:pPr>
      <w:autoSpaceDE w:val="0"/>
      <w:autoSpaceDN w:val="0"/>
      <w:adjustRightInd w:val="0"/>
    </w:pPr>
    <w:rPr>
      <w:color w:val="000000"/>
      <w:sz w:val="24"/>
      <w:szCs w:val="24"/>
    </w:rPr>
  </w:style>
  <w:style w:type="table" w:styleId="TableGrid">
    <w:name w:val="Table Grid"/>
    <w:basedOn w:val="TableNormal"/>
    <w:rsid w:val="003C78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6E78D4"/>
    <w:pPr>
      <w:spacing w:after="120" w:line="480" w:lineRule="auto"/>
    </w:pPr>
  </w:style>
  <w:style w:type="character" w:customStyle="1" w:styleId="BodyText2Char">
    <w:name w:val="Body Text 2 Char"/>
    <w:basedOn w:val="DefaultParagraphFont"/>
    <w:link w:val="BodyText2"/>
    <w:rsid w:val="006E78D4"/>
    <w:rPr>
      <w:rFonts w:eastAsia="Times New Roman"/>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184034">
      <w:bodyDiv w:val="1"/>
      <w:marLeft w:val="0"/>
      <w:marRight w:val="0"/>
      <w:marTop w:val="0"/>
      <w:marBottom w:val="0"/>
      <w:divBdr>
        <w:top w:val="none" w:sz="0" w:space="0" w:color="auto"/>
        <w:left w:val="none" w:sz="0" w:space="0" w:color="auto"/>
        <w:bottom w:val="none" w:sz="0" w:space="0" w:color="auto"/>
        <w:right w:val="none" w:sz="0" w:space="0" w:color="auto"/>
      </w:divBdr>
    </w:div>
    <w:div w:id="723338484">
      <w:bodyDiv w:val="1"/>
      <w:marLeft w:val="0"/>
      <w:marRight w:val="0"/>
      <w:marTop w:val="0"/>
      <w:marBottom w:val="0"/>
      <w:divBdr>
        <w:top w:val="none" w:sz="0" w:space="0" w:color="auto"/>
        <w:left w:val="none" w:sz="0" w:space="0" w:color="auto"/>
        <w:bottom w:val="none" w:sz="0" w:space="0" w:color="auto"/>
        <w:right w:val="none" w:sz="0" w:space="0" w:color="auto"/>
      </w:divBdr>
    </w:div>
    <w:div w:id="767430441">
      <w:bodyDiv w:val="1"/>
      <w:marLeft w:val="0"/>
      <w:marRight w:val="0"/>
      <w:marTop w:val="0"/>
      <w:marBottom w:val="0"/>
      <w:divBdr>
        <w:top w:val="none" w:sz="0" w:space="0" w:color="auto"/>
        <w:left w:val="none" w:sz="0" w:space="0" w:color="auto"/>
        <w:bottom w:val="none" w:sz="0" w:space="0" w:color="auto"/>
        <w:right w:val="none" w:sz="0" w:space="0" w:color="auto"/>
      </w:divBdr>
    </w:div>
    <w:div w:id="912853088">
      <w:bodyDiv w:val="1"/>
      <w:marLeft w:val="0"/>
      <w:marRight w:val="0"/>
      <w:marTop w:val="0"/>
      <w:marBottom w:val="0"/>
      <w:divBdr>
        <w:top w:val="none" w:sz="0" w:space="0" w:color="auto"/>
        <w:left w:val="none" w:sz="0" w:space="0" w:color="auto"/>
        <w:bottom w:val="none" w:sz="0" w:space="0" w:color="auto"/>
        <w:right w:val="none" w:sz="0" w:space="0" w:color="auto"/>
      </w:divBdr>
    </w:div>
    <w:div w:id="1081413034">
      <w:bodyDiv w:val="1"/>
      <w:marLeft w:val="0"/>
      <w:marRight w:val="0"/>
      <w:marTop w:val="0"/>
      <w:marBottom w:val="0"/>
      <w:divBdr>
        <w:top w:val="none" w:sz="0" w:space="0" w:color="auto"/>
        <w:left w:val="none" w:sz="0" w:space="0" w:color="auto"/>
        <w:bottom w:val="none" w:sz="0" w:space="0" w:color="auto"/>
        <w:right w:val="none" w:sz="0" w:space="0" w:color="auto"/>
      </w:divBdr>
    </w:div>
    <w:div w:id="1610813063">
      <w:bodyDiv w:val="1"/>
      <w:marLeft w:val="0"/>
      <w:marRight w:val="0"/>
      <w:marTop w:val="0"/>
      <w:marBottom w:val="0"/>
      <w:divBdr>
        <w:top w:val="none" w:sz="0" w:space="0" w:color="auto"/>
        <w:left w:val="none" w:sz="0" w:space="0" w:color="auto"/>
        <w:bottom w:val="none" w:sz="0" w:space="0" w:color="auto"/>
        <w:right w:val="none" w:sz="0" w:space="0" w:color="auto"/>
      </w:divBdr>
    </w:div>
    <w:div w:id="1808280902">
      <w:bodyDiv w:val="1"/>
      <w:marLeft w:val="0"/>
      <w:marRight w:val="0"/>
      <w:marTop w:val="0"/>
      <w:marBottom w:val="0"/>
      <w:divBdr>
        <w:top w:val="none" w:sz="0" w:space="0" w:color="auto"/>
        <w:left w:val="none" w:sz="0" w:space="0" w:color="auto"/>
        <w:bottom w:val="none" w:sz="0" w:space="0" w:color="auto"/>
        <w:right w:val="none" w:sz="0" w:space="0" w:color="auto"/>
      </w:divBdr>
    </w:div>
    <w:div w:id="1892156597">
      <w:bodyDiv w:val="1"/>
      <w:marLeft w:val="0"/>
      <w:marRight w:val="0"/>
      <w:marTop w:val="0"/>
      <w:marBottom w:val="0"/>
      <w:divBdr>
        <w:top w:val="none" w:sz="0" w:space="0" w:color="auto"/>
        <w:left w:val="none" w:sz="0" w:space="0" w:color="auto"/>
        <w:bottom w:val="none" w:sz="0" w:space="0" w:color="auto"/>
        <w:right w:val="none" w:sz="0" w:space="0" w:color="auto"/>
      </w:divBdr>
    </w:div>
    <w:div w:id="1927760674">
      <w:bodyDiv w:val="1"/>
      <w:marLeft w:val="0"/>
      <w:marRight w:val="0"/>
      <w:marTop w:val="0"/>
      <w:marBottom w:val="0"/>
      <w:divBdr>
        <w:top w:val="none" w:sz="0" w:space="0" w:color="auto"/>
        <w:left w:val="none" w:sz="0" w:space="0" w:color="auto"/>
        <w:bottom w:val="none" w:sz="0" w:space="0" w:color="auto"/>
        <w:right w:val="none" w:sz="0" w:space="0" w:color="auto"/>
      </w:divBdr>
    </w:div>
    <w:div w:id="1953508906">
      <w:bodyDiv w:val="1"/>
      <w:marLeft w:val="0"/>
      <w:marRight w:val="0"/>
      <w:marTop w:val="0"/>
      <w:marBottom w:val="0"/>
      <w:divBdr>
        <w:top w:val="none" w:sz="0" w:space="0" w:color="auto"/>
        <w:left w:val="none" w:sz="0" w:space="0" w:color="auto"/>
        <w:bottom w:val="none" w:sz="0" w:space="0" w:color="auto"/>
        <w:right w:val="none" w:sz="0" w:space="0" w:color="auto"/>
      </w:divBdr>
    </w:div>
    <w:div w:id="2102406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E2E1C3-68F3-4E99-B2B5-46985C5F2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6055</Words>
  <Characters>34519</Characters>
  <Application>Microsoft Office Word</Application>
  <DocSecurity>0</DocSecurity>
  <Lines>287</Lines>
  <Paragraphs>80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Hqrdtemplatecleanen</vt:lpstr>
      <vt:lpstr>Hqrdtemplatecleanen</vt:lpstr>
    </vt:vector>
  </TitlesOfParts>
  <Company>European Medicines Agency</Company>
  <LinksUpToDate>false</LinksUpToDate>
  <CharactersWithSpaces>40494</CharactersWithSpaces>
  <SharedDoc>false</SharedDoc>
  <HLinks>
    <vt:vector size="30" baseType="variant">
      <vt:variant>
        <vt:i4>1245197</vt:i4>
      </vt:variant>
      <vt:variant>
        <vt:i4>12</vt:i4>
      </vt:variant>
      <vt:variant>
        <vt:i4>0</vt:i4>
      </vt:variant>
      <vt:variant>
        <vt:i4>5</vt:i4>
      </vt:variant>
      <vt:variant>
        <vt:lpwstr>http://www.ema.europa.eu/</vt:lpwstr>
      </vt:variant>
      <vt:variant>
        <vt:lpwstr/>
      </vt:variant>
      <vt:variant>
        <vt:i4>2359399</vt:i4>
      </vt:variant>
      <vt:variant>
        <vt:i4>9</vt:i4>
      </vt:variant>
      <vt:variant>
        <vt:i4>0</vt:i4>
      </vt:variant>
      <vt:variant>
        <vt:i4>5</vt:i4>
      </vt:variant>
      <vt:variant>
        <vt:lpwstr>http://www.ema.europa.eu/docs/en_GB/document_library/Template_or_form/2013/03/WC500139752.doc</vt:lpwstr>
      </vt:variant>
      <vt:variant>
        <vt:lpwstr/>
      </vt:variant>
      <vt:variant>
        <vt:i4>1245197</vt:i4>
      </vt:variant>
      <vt:variant>
        <vt:i4>6</vt:i4>
      </vt:variant>
      <vt:variant>
        <vt:i4>0</vt:i4>
      </vt:variant>
      <vt:variant>
        <vt:i4>5</vt:i4>
      </vt:variant>
      <vt:variant>
        <vt:lpwstr>http://www.ema.europa.eu/</vt:lpwstr>
      </vt:variant>
      <vt:variant>
        <vt:lpwstr/>
      </vt:variant>
      <vt:variant>
        <vt:i4>1245197</vt:i4>
      </vt:variant>
      <vt:variant>
        <vt:i4>3</vt:i4>
      </vt:variant>
      <vt:variant>
        <vt:i4>0</vt:i4>
      </vt:variant>
      <vt:variant>
        <vt:i4>5</vt:i4>
      </vt:variant>
      <vt:variant>
        <vt:lpwstr>http://www.ema.europa.eu/</vt:lpwstr>
      </vt:variant>
      <vt:variant>
        <vt:lpwstr/>
      </vt:variant>
      <vt:variant>
        <vt:i4>2359399</vt:i4>
      </vt:variant>
      <vt:variant>
        <vt:i4>0</vt:i4>
      </vt:variant>
      <vt:variant>
        <vt:i4>0</vt:i4>
      </vt:variant>
      <vt:variant>
        <vt:i4>5</vt:i4>
      </vt:variant>
      <vt:variant>
        <vt:lpwstr>http://www.ema.europa.eu/docs/en_GB/document_library/Template_or_form/2013/03/WC500139752.doc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Hqrdtemplatecleanen</dc:title>
  <dc:creator>PIQ-QRD</dc:creator>
  <cp:lastModifiedBy>EXPHARLAB</cp:lastModifiedBy>
  <cp:revision>2</cp:revision>
  <dcterms:created xsi:type="dcterms:W3CDTF">2021-05-04T12:09:00Z</dcterms:created>
  <dcterms:modified xsi:type="dcterms:W3CDTF">2021-05-04T12:09:00Z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Status">
    <vt:lpwstr/>
  </property>
  <property fmtid="{D5CDD505-2E9C-101B-9397-08002B2CF9AE}" pid="3" name="DM_Authors">
    <vt:lpwstr/>
  </property>
  <property fmtid="{D5CDD505-2E9C-101B-9397-08002B2CF9AE}" pid="4" name="DM_Keywords">
    <vt:lpwstr/>
  </property>
  <property fmtid="{D5CDD505-2E9C-101B-9397-08002B2CF9AE}" pid="5" name="DM_Subject">
    <vt:lpwstr>General-EMA/423415/2010</vt:lpwstr>
  </property>
  <property fmtid="{D5CDD505-2E9C-101B-9397-08002B2CF9AE}" pid="6" name="DM_Title">
    <vt:lpwstr/>
  </property>
  <property fmtid="{D5CDD505-2E9C-101B-9397-08002B2CF9AE}" pid="7" name="DM_Language">
    <vt:lpwstr/>
  </property>
  <property fmtid="{D5CDD505-2E9C-101B-9397-08002B2CF9AE}" pid="8" name="DM_Owner">
    <vt:lpwstr>Espinasse Claire</vt:lpwstr>
  </property>
  <property fmtid="{D5CDD505-2E9C-101B-9397-08002B2CF9AE}" pid="9" name="DM_emea_cc">
    <vt:lpwstr/>
  </property>
  <property fmtid="{D5CDD505-2E9C-101B-9397-08002B2CF9AE}" pid="10" name="DM_emea_message_subject">
    <vt:lpwstr/>
  </property>
  <property fmtid="{D5CDD505-2E9C-101B-9397-08002B2CF9AE}" pid="11" name="DM_emea_doc_number">
    <vt:lpwstr>423415</vt:lpwstr>
  </property>
  <property fmtid="{D5CDD505-2E9C-101B-9397-08002B2CF9AE}" pid="12" name="DM_emea_received_date">
    <vt:lpwstr>nulldate</vt:lpwstr>
  </property>
  <property fmtid="{D5CDD505-2E9C-101B-9397-08002B2CF9AE}" pid="13" name="DM_emea_resp_body">
    <vt:lpwstr/>
  </property>
  <property fmtid="{D5CDD505-2E9C-101B-9397-08002B2CF9AE}" pid="14" name="DM_emea_revision_label">
    <vt:lpwstr/>
  </property>
  <property fmtid="{D5CDD505-2E9C-101B-9397-08002B2CF9AE}" pid="15" name="DM_emea_to">
    <vt:lpwstr/>
  </property>
  <property fmtid="{D5CDD505-2E9C-101B-9397-08002B2CF9AE}" pid="16" name="DM_emea_bcc">
    <vt:lpwstr/>
  </property>
  <property fmtid="{D5CDD505-2E9C-101B-9397-08002B2CF9AE}" pid="17" name="DM_emea_doc_category">
    <vt:lpwstr>General</vt:lpwstr>
  </property>
  <property fmtid="{D5CDD505-2E9C-101B-9397-08002B2CF9AE}" pid="18" name="DM_emea_from">
    <vt:lpwstr/>
  </property>
  <property fmtid="{D5CDD505-2E9C-101B-9397-08002B2CF9AE}" pid="19" name="DM_emea_internal_label">
    <vt:lpwstr>EMA</vt:lpwstr>
  </property>
  <property fmtid="{D5CDD505-2E9C-101B-9397-08002B2CF9AE}" pid="20" name="DM_emea_legal_date">
    <vt:lpwstr>nulldate</vt:lpwstr>
  </property>
  <property fmtid="{D5CDD505-2E9C-101B-9397-08002B2CF9AE}" pid="21" name="DM_emea_year">
    <vt:lpwstr>2010</vt:lpwstr>
  </property>
  <property fmtid="{D5CDD505-2E9C-101B-9397-08002B2CF9AE}" pid="22" name="DM_emea_sent_date">
    <vt:lpwstr>nulldate</vt:lpwstr>
  </property>
  <property fmtid="{D5CDD505-2E9C-101B-9397-08002B2CF9AE}" pid="23" name="DM_emea_doc_lang">
    <vt:lpwstr/>
  </property>
  <property fmtid="{D5CDD505-2E9C-101B-9397-08002B2CF9AE}" pid="24" name="DM_emea_meeting_status">
    <vt:lpwstr/>
  </property>
  <property fmtid="{D5CDD505-2E9C-101B-9397-08002B2CF9AE}" pid="25" name="DM_emea_meeting_action">
    <vt:lpwstr/>
  </property>
  <property fmtid="{D5CDD505-2E9C-101B-9397-08002B2CF9AE}" pid="26" name="DM_emea_meeting_hyperlink">
    <vt:lpwstr/>
  </property>
  <property fmtid="{D5CDD505-2E9C-101B-9397-08002B2CF9AE}" pid="27" name="DM_emea_meeting_title">
    <vt:lpwstr/>
  </property>
  <property fmtid="{D5CDD505-2E9C-101B-9397-08002B2CF9AE}" pid="28" name="DM_emea_meeting_ref">
    <vt:lpwstr/>
  </property>
  <property fmtid="{D5CDD505-2E9C-101B-9397-08002B2CF9AE}" pid="29" name="DM_emea_meeting_flags">
    <vt:lpwstr/>
  </property>
  <property fmtid="{D5CDD505-2E9C-101B-9397-08002B2CF9AE}" pid="30" name="DM_Version">
    <vt:lpwstr>CURRENT,1.4</vt:lpwstr>
  </property>
  <property fmtid="{D5CDD505-2E9C-101B-9397-08002B2CF9AE}" pid="31" name="DM_Name">
    <vt:lpwstr>Hqrdtemplatecleanen</vt:lpwstr>
  </property>
  <property fmtid="{D5CDD505-2E9C-101B-9397-08002B2CF9AE}" pid="32" name="DM_Creation_Date">
    <vt:lpwstr>15/03/2013 12:30:32</vt:lpwstr>
  </property>
  <property fmtid="{D5CDD505-2E9C-101B-9397-08002B2CF9AE}" pid="33" name="DM_Modify_Date">
    <vt:lpwstr>15/03/2013 12:30:32</vt:lpwstr>
  </property>
  <property fmtid="{D5CDD505-2E9C-101B-9397-08002B2CF9AE}" pid="34" name="DM_Creator_Name">
    <vt:lpwstr>Espinasse Claire</vt:lpwstr>
  </property>
  <property fmtid="{D5CDD505-2E9C-101B-9397-08002B2CF9AE}" pid="35" name="DM_Modifier_Name">
    <vt:lpwstr>Espinasse Claire</vt:lpwstr>
  </property>
  <property fmtid="{D5CDD505-2E9C-101B-9397-08002B2CF9AE}" pid="36" name="DM_Type">
    <vt:lpwstr>emea_document</vt:lpwstr>
  </property>
  <property fmtid="{D5CDD505-2E9C-101B-9397-08002B2CF9AE}" pid="37" name="DM_DocRefId">
    <vt:lpwstr>EMA/149220/2013</vt:lpwstr>
  </property>
  <property fmtid="{D5CDD505-2E9C-101B-9397-08002B2CF9AE}" pid="38" name="DM_Category">
    <vt:lpwstr>Product Information</vt:lpwstr>
  </property>
  <property fmtid="{D5CDD505-2E9C-101B-9397-08002B2CF9AE}" pid="39" name="DM_Path">
    <vt:lpwstr>/13. Projects/02-004-00014-PIM Implementation/Implementation/DES 2.8 Construction/QRD Template</vt:lpwstr>
  </property>
  <property fmtid="{D5CDD505-2E9C-101B-9397-08002B2CF9AE}" pid="40" name="DM_emea_doc_ref_id">
    <vt:lpwstr>EMA/149220/2013</vt:lpwstr>
  </property>
  <property fmtid="{D5CDD505-2E9C-101B-9397-08002B2CF9AE}" pid="41" name="DM_Modifer_Name">
    <vt:lpwstr>Espinasse Claire</vt:lpwstr>
  </property>
  <property fmtid="{D5CDD505-2E9C-101B-9397-08002B2CF9AE}" pid="42" name="DM_Modified_Date">
    <vt:lpwstr>15/03/2013 12:30:32</vt:lpwstr>
  </property>
</Properties>
</file>