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24"/>
          <w:szCs w:val="24"/>
        </w:rPr>
      </w:pPr>
      <w:r>
        <w:rPr>
          <w:b/>
          <w:bCs/>
          <w:sz w:val="24"/>
          <w:szCs w:val="24"/>
        </w:rPr>
        <w:t xml:space="preserve">1.3 Production information </w:t>
      </w:r>
    </w:p>
    <w:p>
      <w:pPr>
        <w:jc w:val="left"/>
        <w:rPr>
          <w:b/>
          <w:bCs/>
          <w:sz w:val="24"/>
          <w:szCs w:val="24"/>
        </w:rPr>
      </w:pPr>
      <w:r>
        <w:rPr>
          <w:b/>
          <w:bCs/>
          <w:sz w:val="24"/>
          <w:szCs w:val="24"/>
        </w:rPr>
        <w:t>1.3.1 Summary of product characteristics (SmPC)</w:t>
      </w:r>
    </w:p>
    <w:p>
      <w:pPr>
        <w:jc w:val="left"/>
        <w:rPr>
          <w:sz w:val="24"/>
          <w:szCs w:val="24"/>
          <w:lang w:val="en-IN"/>
        </w:rPr>
      </w:pPr>
      <w:r>
        <w:rPr>
          <w:sz w:val="24"/>
          <w:szCs w:val="24"/>
        </w:rPr>
        <w:t>1. Name of the medicinal product</w:t>
      </w:r>
    </w:p>
    <w:p>
      <w:pPr>
        <w:pStyle w:val="4"/>
        <w:spacing w:before="0" w:after="0"/>
        <w:rPr>
          <w:rFonts w:ascii="Times New Roman" w:hAnsi="Times New Roman" w:cs="Times New Roman"/>
        </w:rPr>
      </w:pPr>
      <w:r>
        <w:rPr>
          <w:rFonts w:ascii="Times New Roman" w:hAnsi="Times New Roman" w:cs="Times New Roman"/>
          <w:shd w:val="clear" w:color="auto" w:fill="FFFFFF"/>
        </w:rPr>
        <w:t>Amoxicillin Capsules 250mg</w:t>
      </w:r>
    </w:p>
    <w:p>
      <w:pPr>
        <w:jc w:val="left"/>
        <w:rPr>
          <w:sz w:val="24"/>
          <w:szCs w:val="24"/>
        </w:rPr>
      </w:pPr>
      <w:r>
        <w:rPr>
          <w:sz w:val="24"/>
          <w:szCs w:val="24"/>
        </w:rPr>
        <w:t>2. Qualitative and quantitative composition</w:t>
      </w:r>
    </w:p>
    <w:p>
      <w:pPr>
        <w:pStyle w:val="4"/>
        <w:spacing w:before="0" w:after="0"/>
        <w:rPr>
          <w:rFonts w:ascii="Times New Roman" w:hAnsi="Times New Roman" w:cs="Times New Roman"/>
        </w:rPr>
      </w:pPr>
      <w:r>
        <w:rPr>
          <w:rFonts w:ascii="Times New Roman" w:hAnsi="Times New Roman" w:cs="Times New Roman"/>
          <w:shd w:val="clear" w:color="auto" w:fill="FFFFFF"/>
        </w:rPr>
        <w:t>Each capsule contains Amoxicillin trihydrate equivalent to Amoxicillin 500mg, magnesium stearate 5mg, talc 15mg.</w:t>
      </w:r>
      <w:bookmarkStart w:id="0" w:name="_GoBack"/>
      <w:bookmarkEnd w:id="0"/>
    </w:p>
    <w:p>
      <w:pPr>
        <w:jc w:val="left"/>
        <w:rPr>
          <w:sz w:val="24"/>
          <w:szCs w:val="24"/>
        </w:rPr>
      </w:pPr>
      <w:r>
        <w:rPr>
          <w:sz w:val="24"/>
          <w:szCs w:val="24"/>
        </w:rPr>
        <w:t>3</w:t>
      </w:r>
      <w:r>
        <w:rPr>
          <w:kern w:val="0"/>
          <w:sz w:val="24"/>
          <w:szCs w:val="24"/>
          <w:shd w:val="clear" w:color="auto" w:fill="FFFFFF"/>
        </w:rPr>
        <w:t>. Pharmaceutical form</w:t>
      </w:r>
    </w:p>
    <w:p>
      <w:pPr>
        <w:pStyle w:val="4"/>
        <w:spacing w:before="0" w:after="0"/>
        <w:rPr>
          <w:rFonts w:ascii="Times New Roman" w:hAnsi="Times New Roman" w:cs="Times New Roman"/>
        </w:rPr>
      </w:pPr>
      <w:r>
        <w:rPr>
          <w:rFonts w:ascii="Times New Roman" w:hAnsi="Times New Roman" w:cs="Times New Roman"/>
          <w:shd w:val="clear" w:color="auto" w:fill="FFFFFF"/>
        </w:rPr>
        <w:t xml:space="preserve">Capsule. </w:t>
      </w:r>
    </w:p>
    <w:p>
      <w:pPr>
        <w:jc w:val="left"/>
        <w:rPr>
          <w:sz w:val="24"/>
          <w:szCs w:val="24"/>
        </w:rPr>
      </w:pPr>
      <w:r>
        <w:rPr>
          <w:sz w:val="24"/>
          <w:szCs w:val="24"/>
        </w:rPr>
        <w:t>A white or almost white granules</w:t>
      </w:r>
    </w:p>
    <w:p>
      <w:pPr>
        <w:jc w:val="left"/>
        <w:rPr>
          <w:sz w:val="24"/>
          <w:szCs w:val="24"/>
        </w:rPr>
      </w:pPr>
      <w:r>
        <w:rPr>
          <w:sz w:val="24"/>
          <w:szCs w:val="24"/>
        </w:rPr>
        <w:t>4. Clinical particulars</w:t>
      </w:r>
    </w:p>
    <w:p>
      <w:pPr>
        <w:jc w:val="left"/>
        <w:rPr>
          <w:sz w:val="24"/>
          <w:szCs w:val="24"/>
        </w:rPr>
      </w:pPr>
      <w:r>
        <w:rPr>
          <w:sz w:val="24"/>
          <w:szCs w:val="24"/>
        </w:rPr>
        <w:t>4.1 Therapeutic indications</w:t>
      </w:r>
    </w:p>
    <w:p>
      <w:pPr>
        <w:pStyle w:val="4"/>
        <w:shd w:val="clear" w:color="auto" w:fill="FFFFFF"/>
        <w:spacing w:before="0" w:after="0"/>
        <w:rPr>
          <w:rFonts w:ascii="Times New Roman" w:hAnsi="Times New Roman" w:cs="Times New Roman"/>
        </w:rPr>
      </w:pPr>
      <w:r>
        <w:rPr>
          <w:rFonts w:ascii="Times New Roman" w:hAnsi="Times New Roman" w:cs="Times New Roman"/>
        </w:rPr>
        <w:t>Treatment of infection:</w:t>
      </w:r>
    </w:p>
    <w:p>
      <w:pPr>
        <w:pStyle w:val="4"/>
        <w:shd w:val="clear" w:color="auto" w:fill="FFFFFF"/>
        <w:spacing w:before="0" w:after="0"/>
        <w:rPr>
          <w:rFonts w:ascii="Times New Roman" w:hAnsi="Times New Roman" w:cs="Times New Roman"/>
        </w:rPr>
      </w:pPr>
      <w:r>
        <w:rPr>
          <w:rFonts w:ascii="Times New Roman" w:hAnsi="Times New Roman" w:cs="Times New Roman"/>
        </w:rPr>
        <w:t>Amoxillin capsules is indicated for the treatment of the following infections in adults and children (see sections 4.2, 4.4 and 5.1):</w:t>
      </w:r>
    </w:p>
    <w:p>
      <w:pPr>
        <w:pStyle w:val="4"/>
        <w:shd w:val="clear" w:color="auto" w:fill="FFFFFF"/>
        <w:spacing w:before="0" w:after="0"/>
        <w:rPr>
          <w:rFonts w:ascii="Times New Roman" w:hAnsi="Times New Roman" w:cs="Times New Roman"/>
        </w:rPr>
      </w:pPr>
      <w:r>
        <w:rPr>
          <w:rFonts w:ascii="Times New Roman" w:hAnsi="Times New Roman" w:cs="Times New Roman"/>
          <w:iCs/>
        </w:rPr>
        <w:t>Oral indications</w:t>
      </w:r>
    </w:p>
    <w:p>
      <w:pPr>
        <w:pStyle w:val="4"/>
        <w:shd w:val="clear" w:color="auto" w:fill="FFFFFF"/>
        <w:spacing w:before="0" w:after="0"/>
        <w:rPr>
          <w:rFonts w:ascii="Times New Roman" w:hAnsi="Times New Roman" w:cs="Times New Roman"/>
        </w:rPr>
      </w:pPr>
      <w:r>
        <w:rPr>
          <w:rFonts w:ascii="Times New Roman" w:hAnsi="Times New Roman" w:cs="Times New Roman"/>
        </w:rPr>
        <w:t>• Acute bacterial sinusitis</w:t>
      </w:r>
    </w:p>
    <w:p>
      <w:pPr>
        <w:pStyle w:val="4"/>
        <w:shd w:val="clear" w:color="auto" w:fill="FFFFFF"/>
        <w:spacing w:before="0" w:after="0"/>
        <w:rPr>
          <w:rFonts w:ascii="Times New Roman" w:hAnsi="Times New Roman" w:cs="Times New Roman"/>
        </w:rPr>
      </w:pPr>
      <w:r>
        <w:rPr>
          <w:rFonts w:ascii="Times New Roman" w:hAnsi="Times New Roman" w:cs="Times New Roman"/>
        </w:rPr>
        <w:t>• Acute Otitis media</w:t>
      </w:r>
    </w:p>
    <w:p>
      <w:pPr>
        <w:pStyle w:val="4"/>
        <w:shd w:val="clear" w:color="auto" w:fill="FFFFFF"/>
        <w:spacing w:before="0" w:after="0"/>
        <w:rPr>
          <w:rFonts w:ascii="Times New Roman" w:hAnsi="Times New Roman" w:cs="Times New Roman"/>
        </w:rPr>
      </w:pPr>
      <w:r>
        <w:rPr>
          <w:rFonts w:ascii="Times New Roman" w:hAnsi="Times New Roman" w:cs="Times New Roman"/>
        </w:rPr>
        <w:t>• Acute streptococcal tonsillitis and pharyngitis</w:t>
      </w:r>
    </w:p>
    <w:p>
      <w:pPr>
        <w:pStyle w:val="4"/>
        <w:shd w:val="clear" w:color="auto" w:fill="FFFFFF"/>
        <w:spacing w:before="0" w:after="0"/>
        <w:rPr>
          <w:rFonts w:ascii="Times New Roman" w:hAnsi="Times New Roman" w:cs="Times New Roman"/>
        </w:rPr>
      </w:pPr>
      <w:r>
        <w:rPr>
          <w:rFonts w:ascii="Times New Roman" w:hAnsi="Times New Roman" w:cs="Times New Roman"/>
        </w:rPr>
        <w:t>• Acute exacerbations of chronic bronchitis</w:t>
      </w:r>
    </w:p>
    <w:p>
      <w:pPr>
        <w:pStyle w:val="4"/>
        <w:shd w:val="clear" w:color="auto" w:fill="FFFFFF"/>
        <w:spacing w:before="0" w:after="0"/>
        <w:rPr>
          <w:rFonts w:ascii="Times New Roman" w:hAnsi="Times New Roman" w:cs="Times New Roman"/>
        </w:rPr>
      </w:pPr>
      <w:r>
        <w:rPr>
          <w:rFonts w:ascii="Times New Roman" w:hAnsi="Times New Roman" w:cs="Times New Roman"/>
        </w:rPr>
        <w:t>• Community acquired pneumonia</w:t>
      </w:r>
    </w:p>
    <w:p>
      <w:pPr>
        <w:pStyle w:val="4"/>
        <w:shd w:val="clear" w:color="auto" w:fill="FFFFFF"/>
        <w:spacing w:before="0" w:after="0"/>
        <w:rPr>
          <w:rFonts w:ascii="Times New Roman" w:hAnsi="Times New Roman" w:cs="Times New Roman"/>
        </w:rPr>
      </w:pPr>
      <w:r>
        <w:rPr>
          <w:rFonts w:ascii="Times New Roman" w:hAnsi="Times New Roman" w:cs="Times New Roman"/>
        </w:rPr>
        <w:t>• Acute cystitis</w:t>
      </w:r>
    </w:p>
    <w:p>
      <w:pPr>
        <w:pStyle w:val="4"/>
        <w:shd w:val="clear" w:color="auto" w:fill="FFFFFF"/>
        <w:spacing w:before="0" w:after="0"/>
        <w:rPr>
          <w:rFonts w:ascii="Times New Roman" w:hAnsi="Times New Roman" w:cs="Times New Roman"/>
        </w:rPr>
      </w:pPr>
      <w:r>
        <w:rPr>
          <w:rFonts w:ascii="Times New Roman" w:hAnsi="Times New Roman" w:cs="Times New Roman"/>
        </w:rPr>
        <w:t>• Asymptomatic Bacteriuria in pregnancy</w:t>
      </w:r>
    </w:p>
    <w:p>
      <w:pPr>
        <w:pStyle w:val="4"/>
        <w:shd w:val="clear" w:color="auto" w:fill="FFFFFF"/>
        <w:spacing w:before="0" w:after="0"/>
        <w:rPr>
          <w:rFonts w:ascii="Times New Roman" w:hAnsi="Times New Roman" w:cs="Times New Roman"/>
        </w:rPr>
      </w:pPr>
      <w:r>
        <w:rPr>
          <w:rFonts w:ascii="Times New Roman" w:hAnsi="Times New Roman" w:cs="Times New Roman"/>
        </w:rPr>
        <w:t>• Acute pyelonephritis</w:t>
      </w:r>
    </w:p>
    <w:p>
      <w:pPr>
        <w:pStyle w:val="4"/>
        <w:shd w:val="clear" w:color="auto" w:fill="FFFFFF"/>
        <w:spacing w:before="0" w:after="0"/>
        <w:rPr>
          <w:rFonts w:ascii="Times New Roman" w:hAnsi="Times New Roman" w:cs="Times New Roman"/>
        </w:rPr>
      </w:pPr>
      <w:r>
        <w:rPr>
          <w:rFonts w:ascii="Times New Roman" w:hAnsi="Times New Roman" w:cs="Times New Roman"/>
        </w:rPr>
        <w:t>• Typhoid and paratyphoid fever</w:t>
      </w:r>
    </w:p>
    <w:p>
      <w:pPr>
        <w:pStyle w:val="4"/>
        <w:shd w:val="clear" w:color="auto" w:fill="FFFFFF"/>
        <w:spacing w:before="0" w:after="0"/>
        <w:rPr>
          <w:rFonts w:ascii="Times New Roman" w:hAnsi="Times New Roman" w:cs="Times New Roman"/>
        </w:rPr>
      </w:pPr>
      <w:r>
        <w:rPr>
          <w:rFonts w:ascii="Times New Roman" w:hAnsi="Times New Roman" w:cs="Times New Roman"/>
        </w:rPr>
        <w:t>• Dental abscess with spreading cellulitis</w:t>
      </w:r>
    </w:p>
    <w:p>
      <w:pPr>
        <w:pStyle w:val="4"/>
        <w:shd w:val="clear" w:color="auto" w:fill="FFFFFF"/>
        <w:spacing w:before="0" w:after="0"/>
        <w:rPr>
          <w:rFonts w:ascii="Times New Roman" w:hAnsi="Times New Roman" w:cs="Times New Roman"/>
        </w:rPr>
      </w:pPr>
      <w:r>
        <w:rPr>
          <w:rFonts w:ascii="Times New Roman" w:hAnsi="Times New Roman" w:cs="Times New Roman"/>
        </w:rPr>
        <w:t>• Prosthetic joint infections</w:t>
      </w:r>
    </w:p>
    <w:p>
      <w:pPr>
        <w:pStyle w:val="4"/>
        <w:shd w:val="clear" w:color="auto" w:fill="FFFFFF"/>
        <w:spacing w:before="0" w:after="0"/>
        <w:rPr>
          <w:rFonts w:ascii="Times New Roman" w:hAnsi="Times New Roman" w:cs="Times New Roman"/>
        </w:rPr>
      </w:pPr>
      <w:r>
        <w:rPr>
          <w:rFonts w:ascii="Times New Roman" w:hAnsi="Times New Roman" w:cs="Times New Roman"/>
        </w:rPr>
        <w:t>• Helicobacter pylori eradication</w:t>
      </w:r>
    </w:p>
    <w:p>
      <w:pPr>
        <w:pStyle w:val="4"/>
        <w:shd w:val="clear" w:color="auto" w:fill="FFFFFF"/>
        <w:spacing w:before="0" w:after="0"/>
        <w:rPr>
          <w:rFonts w:ascii="Times New Roman" w:hAnsi="Times New Roman" w:cs="Times New Roman"/>
        </w:rPr>
      </w:pPr>
      <w:r>
        <w:rPr>
          <w:rFonts w:ascii="Times New Roman" w:hAnsi="Times New Roman" w:cs="Times New Roman"/>
        </w:rPr>
        <w:t>• Lyme disease</w:t>
      </w:r>
    </w:p>
    <w:p>
      <w:pPr>
        <w:pStyle w:val="4"/>
        <w:shd w:val="clear" w:color="auto" w:fill="FFFFFF"/>
        <w:spacing w:before="0" w:after="0"/>
        <w:rPr>
          <w:rFonts w:ascii="Times New Roman" w:hAnsi="Times New Roman" w:cs="Times New Roman"/>
        </w:rPr>
      </w:pPr>
      <w:r>
        <w:rPr>
          <w:rFonts w:ascii="Times New Roman" w:hAnsi="Times New Roman" w:cs="Times New Roman"/>
        </w:rPr>
        <w:t>Amoxicillin is also indicated for the prophylaxis of endocarditis</w:t>
      </w:r>
    </w:p>
    <w:p>
      <w:pPr>
        <w:pStyle w:val="4"/>
        <w:shd w:val="clear" w:color="auto" w:fill="FFFFFF"/>
        <w:spacing w:before="0" w:after="0"/>
        <w:rPr>
          <w:rFonts w:ascii="Times New Roman" w:hAnsi="Times New Roman" w:cs="Times New Roman"/>
        </w:rPr>
      </w:pPr>
      <w:r>
        <w:rPr>
          <w:rFonts w:ascii="Times New Roman" w:hAnsi="Times New Roman" w:cs="Times New Roman"/>
        </w:rPr>
        <w:t>Consideration should be given to official guidance on the appropriate use of antibacterial agents.</w:t>
      </w:r>
    </w:p>
    <w:p>
      <w:pPr>
        <w:jc w:val="left"/>
        <w:rPr>
          <w:sz w:val="24"/>
          <w:szCs w:val="24"/>
        </w:rPr>
      </w:pPr>
      <w:r>
        <w:rPr>
          <w:sz w:val="24"/>
          <w:szCs w:val="24"/>
        </w:rPr>
        <w:t xml:space="preserve"> 4.2 Posology and method of administration</w:t>
      </w:r>
    </w:p>
    <w:p>
      <w:pPr>
        <w:widowControl/>
        <w:shd w:val="clear" w:color="auto" w:fill="FFFFFF"/>
        <w:jc w:val="left"/>
        <w:rPr>
          <w:kern w:val="0"/>
          <w:sz w:val="24"/>
          <w:szCs w:val="24"/>
        </w:rPr>
      </w:pPr>
      <w:r>
        <w:rPr>
          <w:kern w:val="0"/>
          <w:sz w:val="24"/>
          <w:szCs w:val="24"/>
        </w:rPr>
        <w:t>Posology</w:t>
      </w:r>
    </w:p>
    <w:p>
      <w:pPr>
        <w:widowControl/>
        <w:shd w:val="clear" w:color="auto" w:fill="FFFFFF"/>
        <w:jc w:val="left"/>
        <w:rPr>
          <w:kern w:val="0"/>
          <w:sz w:val="24"/>
          <w:szCs w:val="24"/>
        </w:rPr>
      </w:pPr>
      <w:r>
        <w:rPr>
          <w:kern w:val="0"/>
          <w:sz w:val="24"/>
          <w:szCs w:val="24"/>
        </w:rPr>
        <w:t>The dose of Amoxicillin that is selected to treat an individual infection should take into account:</w:t>
      </w:r>
    </w:p>
    <w:p>
      <w:pPr>
        <w:widowControl/>
        <w:shd w:val="clear" w:color="auto" w:fill="FFFFFF"/>
        <w:jc w:val="left"/>
        <w:rPr>
          <w:kern w:val="0"/>
          <w:sz w:val="24"/>
          <w:szCs w:val="24"/>
        </w:rPr>
      </w:pPr>
      <w:r>
        <w:rPr>
          <w:kern w:val="0"/>
          <w:sz w:val="24"/>
          <w:szCs w:val="24"/>
        </w:rPr>
        <w:t>• The expected pathogens and their likely susceptibility to antibacterial agents (see section 4.4)</w:t>
      </w:r>
    </w:p>
    <w:p>
      <w:pPr>
        <w:widowControl/>
        <w:shd w:val="clear" w:color="auto" w:fill="FFFFFF"/>
        <w:jc w:val="left"/>
        <w:rPr>
          <w:kern w:val="0"/>
          <w:sz w:val="24"/>
          <w:szCs w:val="24"/>
        </w:rPr>
      </w:pPr>
      <w:r>
        <w:rPr>
          <w:kern w:val="0"/>
          <w:sz w:val="24"/>
          <w:szCs w:val="24"/>
        </w:rPr>
        <w:t>• The severity and the site of the infection</w:t>
      </w:r>
    </w:p>
    <w:p>
      <w:pPr>
        <w:widowControl/>
        <w:shd w:val="clear" w:color="auto" w:fill="FFFFFF"/>
        <w:jc w:val="left"/>
        <w:rPr>
          <w:kern w:val="0"/>
          <w:sz w:val="24"/>
          <w:szCs w:val="24"/>
        </w:rPr>
      </w:pPr>
      <w:r>
        <w:rPr>
          <w:kern w:val="0"/>
          <w:sz w:val="24"/>
          <w:szCs w:val="24"/>
        </w:rPr>
        <w:t>• The age, weight and renal function of the patient; as shown below</w:t>
      </w:r>
    </w:p>
    <w:p>
      <w:pPr>
        <w:widowControl/>
        <w:shd w:val="clear" w:color="auto" w:fill="FFFFFF"/>
        <w:jc w:val="left"/>
        <w:rPr>
          <w:kern w:val="0"/>
          <w:sz w:val="24"/>
          <w:szCs w:val="24"/>
        </w:rPr>
      </w:pPr>
      <w:r>
        <w:rPr>
          <w:kern w:val="0"/>
          <w:sz w:val="24"/>
          <w:szCs w:val="24"/>
        </w:rPr>
        <w:t>The duration of therapy should be determined by the type of infection and the response of the patient, and should generally be as short as possible. Some infections require longer periods of treatment (see section 4.4 regarding prolonged therapy).</w:t>
      </w:r>
    </w:p>
    <w:p>
      <w:pPr>
        <w:widowControl/>
        <w:shd w:val="clear" w:color="auto" w:fill="FFFFFF"/>
        <w:jc w:val="left"/>
        <w:rPr>
          <w:kern w:val="0"/>
          <w:sz w:val="24"/>
          <w:szCs w:val="24"/>
        </w:rPr>
      </w:pPr>
      <w:r>
        <w:rPr>
          <w:kern w:val="0"/>
          <w:sz w:val="24"/>
          <w:szCs w:val="24"/>
        </w:rPr>
        <w:t>Adults and children ≥40 kg</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4493"/>
        <w:gridCol w:w="49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Indication*</w:t>
            </w:r>
          </w:p>
        </w:tc>
        <w:tc>
          <w:tcPr>
            <w:tcW w:w="498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Dose*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bacterial sinusitis</w:t>
            </w:r>
          </w:p>
        </w:tc>
        <w:tc>
          <w:tcPr>
            <w:tcW w:w="4984" w:type="dxa"/>
            <w:vMerge w:val="restart"/>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250 mg to 500 mg every 8 hours or 750 mg to 1 g every 12 hours</w:t>
            </w:r>
          </w:p>
          <w:p>
            <w:pPr>
              <w:widowControl/>
              <w:jc w:val="left"/>
              <w:rPr>
                <w:kern w:val="0"/>
                <w:sz w:val="24"/>
                <w:szCs w:val="24"/>
              </w:rPr>
            </w:pPr>
            <w:r>
              <w:rPr>
                <w:kern w:val="0"/>
                <w:sz w:val="24"/>
                <w:szCs w:val="24"/>
              </w:rPr>
              <w:t>For severe infections 750 mg to 1 g every 8 hours</w:t>
            </w:r>
          </w:p>
          <w:p>
            <w:pPr>
              <w:widowControl/>
              <w:jc w:val="left"/>
              <w:rPr>
                <w:kern w:val="0"/>
                <w:sz w:val="24"/>
                <w:szCs w:val="24"/>
              </w:rPr>
            </w:pPr>
            <w:r>
              <w:rPr>
                <w:kern w:val="0"/>
                <w:sz w:val="24"/>
                <w:szCs w:val="24"/>
              </w:rPr>
              <w:t>Acute cystitis may be treated with 3 g twice daily for one day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Asymptomatic bacteriuria in pregnancy</w:t>
            </w:r>
          </w:p>
        </w:tc>
        <w:tc>
          <w:tcPr>
            <w:tcW w:w="498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pyelonephritis</w:t>
            </w:r>
          </w:p>
        </w:tc>
        <w:tc>
          <w:tcPr>
            <w:tcW w:w="498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Dental abscess with spreading cellulitis</w:t>
            </w:r>
          </w:p>
        </w:tc>
        <w:tc>
          <w:tcPr>
            <w:tcW w:w="498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cystitis</w:t>
            </w:r>
          </w:p>
        </w:tc>
        <w:tc>
          <w:tcPr>
            <w:tcW w:w="498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otitis media</w:t>
            </w:r>
          </w:p>
        </w:tc>
        <w:tc>
          <w:tcPr>
            <w:tcW w:w="4984" w:type="dxa"/>
            <w:vMerge w:val="restart"/>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500 mg every 8 hours, 750 mg to 1 g every 12 hours</w:t>
            </w:r>
          </w:p>
          <w:p>
            <w:pPr>
              <w:widowControl/>
              <w:jc w:val="left"/>
              <w:rPr>
                <w:kern w:val="0"/>
                <w:sz w:val="24"/>
                <w:szCs w:val="24"/>
              </w:rPr>
            </w:pPr>
            <w:r>
              <w:rPr>
                <w:kern w:val="0"/>
                <w:sz w:val="24"/>
                <w:szCs w:val="24"/>
              </w:rPr>
              <w:t>For severe infections 750 mg to 1 g every 8 hours for 10 days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streptococcal tonsillitis and pharyngitis</w:t>
            </w:r>
          </w:p>
        </w:tc>
        <w:tc>
          <w:tcPr>
            <w:tcW w:w="498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49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exacerbations of chronic bronchitis</w:t>
            </w:r>
          </w:p>
        </w:tc>
        <w:tc>
          <w:tcPr>
            <w:tcW w:w="498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bl>
    <w:p>
      <w:pPr>
        <w:widowControl/>
        <w:jc w:val="left"/>
        <w:rPr>
          <w:vanish/>
          <w:kern w:val="0"/>
          <w:sz w:val="24"/>
          <w:szCs w:val="24"/>
        </w:rPr>
      </w:pP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4847"/>
        <w:gridCol w:w="46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Indication*</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Dose*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Community acquired pneumonia</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500 mg to 1 g every 8 hours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Typhoid and paratyphoid fever</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500 mg to 2 g every 8 hours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Prosthetic joint infections</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500 mg to 1 g every 8 hours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Prophylaxis of endocarditis</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2 g orally, single dose 30 to 60 minutes before procedure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iCs/>
                <w:kern w:val="0"/>
                <w:sz w:val="24"/>
                <w:szCs w:val="24"/>
              </w:rPr>
              <w:t xml:space="preserve">Helicobacter pylori </w:t>
            </w:r>
            <w:r>
              <w:rPr>
                <w:kern w:val="0"/>
                <w:sz w:val="24"/>
                <w:szCs w:val="24"/>
              </w:rPr>
              <w:t>eradication</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750 mg to 1 g twice daily in combination with a proton pump inhibitor (e.g. omeprazole, lansoprazole) and another antibiotic (e.g. clarithromycin, metronidazole) for 7 days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847"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Lyme disease (see section 4.4)</w:t>
            </w:r>
          </w:p>
        </w:tc>
        <w:tc>
          <w:tcPr>
            <w:tcW w:w="4629"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Early stage: 500 mg to 1 g every 8 hours up to a maximum of 4 g/day in divided doses for 14 days (10 to 21 days)</w:t>
            </w:r>
          </w:p>
          <w:p>
            <w:pPr>
              <w:widowControl/>
              <w:jc w:val="left"/>
              <w:rPr>
                <w:kern w:val="0"/>
                <w:sz w:val="24"/>
                <w:szCs w:val="24"/>
              </w:rPr>
            </w:pPr>
            <w:r>
              <w:rPr>
                <w:kern w:val="0"/>
                <w:sz w:val="24"/>
                <w:szCs w:val="24"/>
              </w:rPr>
              <w:t>Late stage (systemic involvement): 500 mg to 2 g every 8 hours up to a maximum of 6 g/day in divided doses for 10 to 30 days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476" w:type="dxa"/>
            <w:gridSpan w:val="2"/>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*Consideration should be given to the official treatment guidelines for each indication</w:t>
            </w:r>
          </w:p>
        </w:tc>
      </w:tr>
    </w:tbl>
    <w:p>
      <w:pPr>
        <w:widowControl/>
        <w:shd w:val="clear" w:color="auto" w:fill="FFFFFF"/>
        <w:jc w:val="left"/>
        <w:rPr>
          <w:kern w:val="0"/>
          <w:sz w:val="24"/>
          <w:szCs w:val="24"/>
        </w:rPr>
      </w:pPr>
      <w:r>
        <w:rPr>
          <w:kern w:val="0"/>
          <w:sz w:val="24"/>
          <w:szCs w:val="24"/>
        </w:rPr>
        <w:t>Children &lt;40 kg</w:t>
      </w:r>
    </w:p>
    <w:p>
      <w:pPr>
        <w:widowControl/>
        <w:shd w:val="clear" w:color="auto" w:fill="FFFFFF"/>
        <w:jc w:val="left"/>
        <w:rPr>
          <w:kern w:val="0"/>
          <w:sz w:val="24"/>
          <w:szCs w:val="24"/>
        </w:rPr>
      </w:pPr>
      <w:r>
        <w:rPr>
          <w:kern w:val="0"/>
          <w:sz w:val="24"/>
          <w:szCs w:val="24"/>
        </w:rPr>
        <w:t>Children weighing 40 kg or more should be prescribed the adult dosage.</w:t>
      </w:r>
    </w:p>
    <w:p>
      <w:pPr>
        <w:widowControl/>
        <w:shd w:val="clear" w:color="auto" w:fill="FFFFFF"/>
        <w:jc w:val="left"/>
        <w:rPr>
          <w:kern w:val="0"/>
          <w:sz w:val="24"/>
          <w:szCs w:val="24"/>
        </w:rPr>
      </w:pPr>
      <w:r>
        <w:rPr>
          <w:iCs/>
          <w:kern w:val="0"/>
          <w:sz w:val="24"/>
          <w:szCs w:val="24"/>
        </w:rPr>
        <w:t>Recommended doses:</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4634"/>
        <w:gridCol w:w="48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Indication</w:t>
            </w:r>
            <w:r>
              <w:rPr>
                <w:kern w:val="0"/>
                <w:sz w:val="24"/>
                <w:szCs w:val="24"/>
                <w:vertAlign w:val="superscript"/>
              </w:rPr>
              <w:t>+</w:t>
            </w:r>
          </w:p>
        </w:tc>
        <w:tc>
          <w:tcPr>
            <w:tcW w:w="4856"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Dose</w:t>
            </w:r>
            <w:r>
              <w:rPr>
                <w:kern w:val="0"/>
                <w:sz w:val="24"/>
                <w:szCs w:val="24"/>
                <w:vertAlign w:val="superscript"/>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bacterial sinusitis</w:t>
            </w:r>
          </w:p>
        </w:tc>
        <w:tc>
          <w:tcPr>
            <w:tcW w:w="4856" w:type="dxa"/>
            <w:vMerge w:val="restart"/>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20 to 90 mg/kg/day in divided doses*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otitis media</w:t>
            </w:r>
          </w:p>
        </w:tc>
        <w:tc>
          <w:tcPr>
            <w:tcW w:w="4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Community acquired pneumonia</w:t>
            </w:r>
          </w:p>
        </w:tc>
        <w:tc>
          <w:tcPr>
            <w:tcW w:w="4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cystitis</w:t>
            </w:r>
          </w:p>
        </w:tc>
        <w:tc>
          <w:tcPr>
            <w:tcW w:w="4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pyelonephritis</w:t>
            </w:r>
          </w:p>
        </w:tc>
        <w:tc>
          <w:tcPr>
            <w:tcW w:w="4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Dental abscess with spreading cellulitis</w:t>
            </w:r>
          </w:p>
        </w:tc>
        <w:tc>
          <w:tcPr>
            <w:tcW w:w="4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Acute streptococcal tonsillitis and pharyngitis</w:t>
            </w:r>
          </w:p>
        </w:tc>
        <w:tc>
          <w:tcPr>
            <w:tcW w:w="4856"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40 to 90 mg/kg/day in divided doses*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Typhoid and paratyphoid fever</w:t>
            </w:r>
          </w:p>
        </w:tc>
        <w:tc>
          <w:tcPr>
            <w:tcW w:w="4856"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100 mg/kg/day in three divided doses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Prophylaxis of endocarditis</w:t>
            </w:r>
          </w:p>
        </w:tc>
        <w:tc>
          <w:tcPr>
            <w:tcW w:w="4856"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50 mg/kg orally, single dose 30 to 60 minutes before procedure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4634"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Lyme disease (see section 4.4)</w:t>
            </w:r>
          </w:p>
        </w:tc>
        <w:tc>
          <w:tcPr>
            <w:tcW w:w="4856"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Early stage: 25 to 50 mg/kg/day in three divided doses for 10 to 21 days</w:t>
            </w:r>
          </w:p>
          <w:p>
            <w:pPr>
              <w:widowControl/>
              <w:jc w:val="left"/>
              <w:rPr>
                <w:kern w:val="0"/>
                <w:sz w:val="24"/>
                <w:szCs w:val="24"/>
              </w:rPr>
            </w:pPr>
            <w:r>
              <w:rPr>
                <w:kern w:val="0"/>
                <w:sz w:val="24"/>
                <w:szCs w:val="24"/>
              </w:rPr>
              <w:t>Late stage (systemic involvement):</w:t>
            </w:r>
          </w:p>
          <w:p>
            <w:pPr>
              <w:widowControl/>
              <w:jc w:val="left"/>
              <w:rPr>
                <w:kern w:val="0"/>
                <w:sz w:val="24"/>
                <w:szCs w:val="24"/>
              </w:rPr>
            </w:pPr>
            <w:r>
              <w:rPr>
                <w:kern w:val="0"/>
                <w:sz w:val="24"/>
                <w:szCs w:val="24"/>
              </w:rPr>
              <w:t>100 mg/kg/day in three divided doses for 10 to 30 days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490" w:type="dxa"/>
            <w:gridSpan w:val="2"/>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 Consideration should be given to the official treatment guidelines for each indication.</w:t>
            </w:r>
          </w:p>
          <w:p>
            <w:pPr>
              <w:widowControl/>
              <w:jc w:val="left"/>
              <w:rPr>
                <w:kern w:val="0"/>
                <w:sz w:val="24"/>
                <w:szCs w:val="24"/>
              </w:rPr>
            </w:pPr>
            <w:r>
              <w:rPr>
                <w:kern w:val="0"/>
                <w:sz w:val="24"/>
                <w:szCs w:val="24"/>
              </w:rPr>
              <w:t>*Twice daily dosing regimens should only be considered when the dose is in the upper range.</w:t>
            </w:r>
          </w:p>
        </w:tc>
      </w:tr>
    </w:tbl>
    <w:p>
      <w:pPr>
        <w:widowControl/>
        <w:shd w:val="clear" w:color="auto" w:fill="FFFFFF"/>
        <w:jc w:val="left"/>
        <w:rPr>
          <w:kern w:val="0"/>
          <w:sz w:val="24"/>
          <w:szCs w:val="24"/>
        </w:rPr>
      </w:pPr>
      <w:r>
        <w:rPr>
          <w:kern w:val="0"/>
          <w:sz w:val="24"/>
          <w:szCs w:val="24"/>
        </w:rPr>
        <w:t>Elderly</w:t>
      </w:r>
    </w:p>
    <w:p>
      <w:pPr>
        <w:widowControl/>
        <w:shd w:val="clear" w:color="auto" w:fill="FFFFFF"/>
        <w:jc w:val="left"/>
        <w:rPr>
          <w:kern w:val="0"/>
          <w:sz w:val="24"/>
          <w:szCs w:val="24"/>
        </w:rPr>
      </w:pPr>
      <w:r>
        <w:rPr>
          <w:kern w:val="0"/>
          <w:sz w:val="24"/>
          <w:szCs w:val="24"/>
        </w:rPr>
        <w:t>No dose adjustment is considered necessary.</w:t>
      </w:r>
    </w:p>
    <w:p>
      <w:pPr>
        <w:widowControl/>
        <w:shd w:val="clear" w:color="auto" w:fill="FFFFFF"/>
        <w:jc w:val="left"/>
        <w:rPr>
          <w:kern w:val="0"/>
          <w:sz w:val="24"/>
          <w:szCs w:val="24"/>
        </w:rPr>
      </w:pPr>
      <w:r>
        <w:rPr>
          <w:kern w:val="0"/>
          <w:sz w:val="24"/>
          <w:szCs w:val="24"/>
        </w:rPr>
        <w:t>Renal impairment</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2073"/>
        <w:gridCol w:w="3079"/>
        <w:gridCol w:w="43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207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GFR (ml/min)</w:t>
            </w:r>
          </w:p>
        </w:tc>
        <w:tc>
          <w:tcPr>
            <w:tcW w:w="307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Adults and children ≥ 40 kg</w:t>
            </w:r>
          </w:p>
        </w:tc>
        <w:tc>
          <w:tcPr>
            <w:tcW w:w="43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Children &lt; 40 kg</w:t>
            </w:r>
            <w:r>
              <w:rPr>
                <w:kern w:val="0"/>
                <w:sz w:val="24"/>
                <w:szCs w:val="24"/>
                <w:vertAlign w:val="superscript"/>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207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greater than 30</w:t>
            </w:r>
          </w:p>
        </w:tc>
        <w:tc>
          <w:tcPr>
            <w:tcW w:w="307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 adjustment necessary</w:t>
            </w:r>
          </w:p>
        </w:tc>
        <w:tc>
          <w:tcPr>
            <w:tcW w:w="43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 adjustment necessary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207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10 to 30</w:t>
            </w:r>
          </w:p>
        </w:tc>
        <w:tc>
          <w:tcPr>
            <w:tcW w:w="307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maximum 500 mg twice daily</w:t>
            </w:r>
          </w:p>
        </w:tc>
        <w:tc>
          <w:tcPr>
            <w:tcW w:w="43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15 mg/kg given twice daily (maximum 500 mg twice daily)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07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less than 10</w:t>
            </w:r>
          </w:p>
        </w:tc>
        <w:tc>
          <w:tcPr>
            <w:tcW w:w="307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maximum 500 mg/day.</w:t>
            </w:r>
          </w:p>
        </w:tc>
        <w:tc>
          <w:tcPr>
            <w:tcW w:w="43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15 mg/kg given as a single daily dose (maximum 500 mg)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0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vertAlign w:val="superscript"/>
              </w:rPr>
              <w:t xml:space="preserve"># </w:t>
            </w:r>
            <w:r>
              <w:rPr>
                <w:kern w:val="0"/>
                <w:sz w:val="24"/>
                <w:szCs w:val="24"/>
              </w:rPr>
              <w:t>In the majority of cases, parenteral therapy is preferred.</w:t>
            </w:r>
          </w:p>
        </w:tc>
      </w:tr>
    </w:tbl>
    <w:p>
      <w:pPr>
        <w:widowControl/>
        <w:shd w:val="clear" w:color="auto" w:fill="FFFFFF"/>
        <w:jc w:val="left"/>
        <w:rPr>
          <w:kern w:val="0"/>
          <w:sz w:val="24"/>
          <w:szCs w:val="24"/>
        </w:rPr>
      </w:pPr>
      <w:r>
        <w:rPr>
          <w:iCs/>
          <w:kern w:val="0"/>
          <w:sz w:val="24"/>
          <w:szCs w:val="24"/>
        </w:rPr>
        <w:t>In patients receiving haemodialysis</w:t>
      </w:r>
    </w:p>
    <w:p>
      <w:pPr>
        <w:widowControl/>
        <w:shd w:val="clear" w:color="auto" w:fill="FFFFFF"/>
        <w:jc w:val="left"/>
        <w:rPr>
          <w:kern w:val="0"/>
          <w:sz w:val="24"/>
          <w:szCs w:val="24"/>
        </w:rPr>
      </w:pPr>
      <w:r>
        <w:rPr>
          <w:kern w:val="0"/>
          <w:sz w:val="24"/>
          <w:szCs w:val="24"/>
        </w:rPr>
        <w:t>Amoxicillin may be removed from the circulation by haemodialysis.</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2333"/>
        <w:gridCol w:w="71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233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 xml:space="preserve"> </w:t>
            </w:r>
          </w:p>
        </w:tc>
        <w:tc>
          <w:tcPr>
            <w:tcW w:w="711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Haemodialysis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233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Adults and children</w:t>
            </w:r>
          </w:p>
          <w:p>
            <w:pPr>
              <w:widowControl/>
              <w:jc w:val="left"/>
              <w:rPr>
                <w:kern w:val="0"/>
                <w:sz w:val="24"/>
                <w:szCs w:val="24"/>
              </w:rPr>
            </w:pPr>
            <w:r>
              <w:rPr>
                <w:kern w:val="0"/>
                <w:sz w:val="24"/>
                <w:szCs w:val="24"/>
              </w:rPr>
              <w:t>≥ 40 kg</w:t>
            </w:r>
          </w:p>
        </w:tc>
        <w:tc>
          <w:tcPr>
            <w:tcW w:w="711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15 mg/kg/day given as a single daily dose.</w:t>
            </w:r>
          </w:p>
          <w:p>
            <w:pPr>
              <w:widowControl/>
              <w:jc w:val="left"/>
              <w:rPr>
                <w:kern w:val="0"/>
                <w:sz w:val="24"/>
                <w:szCs w:val="24"/>
              </w:rPr>
            </w:pPr>
            <w:r>
              <w:rPr>
                <w:kern w:val="0"/>
                <w:sz w:val="24"/>
                <w:szCs w:val="24"/>
              </w:rPr>
              <w:t>Prior to haemodialysis one additional dose of 15 mg/kg should be administered. In order to restore circulating drug levels, another dose of 15 mg/kg should be administered after haemodialysis.</w:t>
            </w:r>
          </w:p>
        </w:tc>
      </w:tr>
    </w:tbl>
    <w:p>
      <w:pPr>
        <w:widowControl/>
        <w:shd w:val="clear" w:color="auto" w:fill="FFFFFF"/>
        <w:jc w:val="left"/>
        <w:rPr>
          <w:kern w:val="0"/>
          <w:sz w:val="24"/>
          <w:szCs w:val="24"/>
        </w:rPr>
      </w:pPr>
      <w:r>
        <w:rPr>
          <w:iCs/>
          <w:kern w:val="0"/>
          <w:sz w:val="24"/>
          <w:szCs w:val="24"/>
        </w:rPr>
        <w:t>In patients receiving peritoneal dialysis</w:t>
      </w:r>
    </w:p>
    <w:p>
      <w:pPr>
        <w:widowControl/>
        <w:shd w:val="clear" w:color="auto" w:fill="FFFFFF"/>
        <w:jc w:val="left"/>
        <w:rPr>
          <w:kern w:val="0"/>
          <w:sz w:val="24"/>
          <w:szCs w:val="24"/>
        </w:rPr>
      </w:pPr>
      <w:r>
        <w:rPr>
          <w:kern w:val="0"/>
          <w:sz w:val="24"/>
          <w:szCs w:val="24"/>
        </w:rPr>
        <w:t>Amoxicillin maximum 500 mg/day.</w:t>
      </w:r>
    </w:p>
    <w:p>
      <w:pPr>
        <w:widowControl/>
        <w:shd w:val="clear" w:color="auto" w:fill="FFFFFF"/>
        <w:jc w:val="left"/>
        <w:rPr>
          <w:kern w:val="0"/>
          <w:sz w:val="24"/>
          <w:szCs w:val="24"/>
        </w:rPr>
      </w:pPr>
      <w:r>
        <w:rPr>
          <w:kern w:val="0"/>
          <w:sz w:val="24"/>
          <w:szCs w:val="24"/>
        </w:rPr>
        <w:t>Hepatic impairment</w:t>
      </w:r>
    </w:p>
    <w:p>
      <w:pPr>
        <w:widowControl/>
        <w:shd w:val="clear" w:color="auto" w:fill="FFFFFF"/>
        <w:jc w:val="left"/>
        <w:rPr>
          <w:kern w:val="0"/>
          <w:sz w:val="24"/>
          <w:szCs w:val="24"/>
        </w:rPr>
      </w:pPr>
      <w:r>
        <w:rPr>
          <w:kern w:val="0"/>
          <w:sz w:val="24"/>
          <w:szCs w:val="24"/>
        </w:rPr>
        <w:t>Dose with caution and monitor hepatic function at regular intervals (see sections 4.4 and 4.8).</w:t>
      </w:r>
    </w:p>
    <w:p>
      <w:pPr>
        <w:widowControl/>
        <w:shd w:val="clear" w:color="auto" w:fill="FFFFFF"/>
        <w:jc w:val="left"/>
        <w:rPr>
          <w:kern w:val="0"/>
          <w:sz w:val="24"/>
          <w:szCs w:val="24"/>
        </w:rPr>
      </w:pPr>
      <w:r>
        <w:rPr>
          <w:kern w:val="0"/>
          <w:sz w:val="24"/>
          <w:szCs w:val="24"/>
        </w:rPr>
        <w:t>Method of administration</w:t>
      </w:r>
    </w:p>
    <w:p>
      <w:pPr>
        <w:widowControl/>
        <w:shd w:val="clear" w:color="auto" w:fill="FFFFFF"/>
        <w:jc w:val="left"/>
        <w:rPr>
          <w:kern w:val="0"/>
          <w:sz w:val="24"/>
          <w:szCs w:val="24"/>
        </w:rPr>
      </w:pPr>
      <w:r>
        <w:rPr>
          <w:kern w:val="0"/>
          <w:sz w:val="24"/>
          <w:szCs w:val="24"/>
        </w:rPr>
        <w:t>Oral:</w:t>
      </w:r>
    </w:p>
    <w:p>
      <w:pPr>
        <w:widowControl/>
        <w:shd w:val="clear" w:color="auto" w:fill="FFFFFF"/>
        <w:jc w:val="left"/>
        <w:rPr>
          <w:kern w:val="0"/>
          <w:sz w:val="24"/>
          <w:szCs w:val="24"/>
        </w:rPr>
      </w:pPr>
      <w:r>
        <w:rPr>
          <w:kern w:val="0"/>
          <w:sz w:val="24"/>
          <w:szCs w:val="24"/>
        </w:rPr>
        <w:t>Amoxicillin is for oral use.</w:t>
      </w:r>
    </w:p>
    <w:p>
      <w:pPr>
        <w:widowControl/>
        <w:shd w:val="clear" w:color="auto" w:fill="FFFFFF"/>
        <w:jc w:val="left"/>
        <w:rPr>
          <w:kern w:val="0"/>
          <w:sz w:val="24"/>
          <w:szCs w:val="24"/>
        </w:rPr>
      </w:pPr>
      <w:r>
        <w:rPr>
          <w:kern w:val="0"/>
          <w:sz w:val="24"/>
          <w:szCs w:val="24"/>
        </w:rPr>
        <w:t>Absorption of Amoxicillin is unimpaired by food.</w:t>
      </w:r>
    </w:p>
    <w:p>
      <w:pPr>
        <w:widowControl/>
        <w:shd w:val="clear" w:color="auto" w:fill="FFFFFF"/>
        <w:jc w:val="left"/>
        <w:rPr>
          <w:sz w:val="24"/>
          <w:szCs w:val="24"/>
        </w:rPr>
      </w:pPr>
      <w:r>
        <w:rPr>
          <w:kern w:val="0"/>
          <w:sz w:val="24"/>
          <w:szCs w:val="24"/>
        </w:rPr>
        <w:t>Swallow with water without opening capsule.</w:t>
      </w:r>
    </w:p>
    <w:p>
      <w:pPr>
        <w:jc w:val="left"/>
        <w:rPr>
          <w:sz w:val="24"/>
          <w:szCs w:val="24"/>
        </w:rPr>
      </w:pPr>
      <w:r>
        <w:rPr>
          <w:sz w:val="24"/>
          <w:szCs w:val="24"/>
        </w:rPr>
        <w:t>4.3 Contraindications</w:t>
      </w:r>
    </w:p>
    <w:p>
      <w:pPr>
        <w:widowControl/>
        <w:shd w:val="clear" w:color="auto" w:fill="FFFFFF"/>
        <w:jc w:val="left"/>
        <w:rPr>
          <w:kern w:val="0"/>
          <w:sz w:val="24"/>
          <w:szCs w:val="24"/>
        </w:rPr>
      </w:pPr>
      <w:r>
        <w:rPr>
          <w:kern w:val="0"/>
          <w:sz w:val="24"/>
          <w:szCs w:val="24"/>
        </w:rPr>
        <w:t>Hypersensitivity to the active substance, to any of the penicillins or to any of the excipients listed in section 6.1.</w:t>
      </w:r>
    </w:p>
    <w:p>
      <w:pPr>
        <w:widowControl/>
        <w:shd w:val="clear" w:color="auto" w:fill="FFFFFF"/>
        <w:jc w:val="left"/>
        <w:rPr>
          <w:sz w:val="24"/>
          <w:szCs w:val="24"/>
        </w:rPr>
      </w:pPr>
      <w:r>
        <w:rPr>
          <w:kern w:val="0"/>
          <w:sz w:val="24"/>
          <w:szCs w:val="24"/>
        </w:rPr>
        <w:t>History of a severe immediate hypersensitivity reaction (e.g. anaphylaxis) to another beta-lactam agent (e.g. a cephalosporin, carbapenem or monobactam).</w:t>
      </w:r>
    </w:p>
    <w:p>
      <w:pPr>
        <w:jc w:val="left"/>
        <w:rPr>
          <w:sz w:val="24"/>
          <w:szCs w:val="24"/>
        </w:rPr>
      </w:pPr>
      <w:r>
        <w:rPr>
          <w:sz w:val="24"/>
          <w:szCs w:val="24"/>
        </w:rPr>
        <w:t>4.4 Special warnings and precautions for use</w:t>
      </w:r>
    </w:p>
    <w:p>
      <w:pPr>
        <w:widowControl/>
        <w:shd w:val="clear" w:color="auto" w:fill="FFFFFF"/>
        <w:jc w:val="left"/>
        <w:rPr>
          <w:kern w:val="0"/>
          <w:sz w:val="24"/>
          <w:szCs w:val="24"/>
        </w:rPr>
      </w:pPr>
      <w:r>
        <w:rPr>
          <w:kern w:val="0"/>
          <w:sz w:val="24"/>
          <w:szCs w:val="24"/>
        </w:rPr>
        <w:t>Hypersensitivity reactions</w:t>
      </w:r>
    </w:p>
    <w:p>
      <w:pPr>
        <w:widowControl/>
        <w:shd w:val="clear" w:color="auto" w:fill="FFFFFF"/>
        <w:jc w:val="left"/>
        <w:rPr>
          <w:kern w:val="0"/>
          <w:sz w:val="24"/>
          <w:szCs w:val="24"/>
        </w:rPr>
      </w:pPr>
      <w:r>
        <w:rPr>
          <w:kern w:val="0"/>
          <w:sz w:val="24"/>
          <w:szCs w:val="24"/>
        </w:rPr>
        <w:t>Before initiating therapy with amoxicillin, careful enquiry should be made concerning previous hypersensitivity reactions to penicillins, cephalosporins or other beta-lactam agencts (see sections 4.3 and 4.8).</w:t>
      </w:r>
    </w:p>
    <w:p>
      <w:pPr>
        <w:widowControl/>
        <w:shd w:val="clear" w:color="auto" w:fill="FFFFFF"/>
        <w:jc w:val="left"/>
        <w:rPr>
          <w:kern w:val="0"/>
          <w:sz w:val="24"/>
          <w:szCs w:val="24"/>
        </w:rPr>
      </w:pPr>
      <w:r>
        <w:rPr>
          <w:kern w:val="0"/>
          <w:sz w:val="24"/>
          <w:szCs w:val="24"/>
        </w:rPr>
        <w:t>Serious and occasionally fatal hypersensitivity (anaphylactoid) reactions have been reported in patients on penicillin therapy. These reactions are more likely to occur in individuals with a history of hypersensitivity and in atopic individuals. If an allergic reaction occurs, amoxicillin therapy must be discontinued and appropriate alternative therapy instituted.</w:t>
      </w:r>
    </w:p>
    <w:p>
      <w:pPr>
        <w:widowControl/>
        <w:shd w:val="clear" w:color="auto" w:fill="FFFFFF"/>
        <w:jc w:val="left"/>
        <w:rPr>
          <w:kern w:val="0"/>
          <w:sz w:val="24"/>
          <w:szCs w:val="24"/>
        </w:rPr>
      </w:pPr>
      <w:r>
        <w:rPr>
          <w:kern w:val="0"/>
          <w:sz w:val="24"/>
          <w:szCs w:val="24"/>
        </w:rPr>
        <w:t>Non-susceptible microorganisms</w:t>
      </w:r>
    </w:p>
    <w:p>
      <w:pPr>
        <w:widowControl/>
        <w:shd w:val="clear" w:color="auto" w:fill="FFFFFF"/>
        <w:jc w:val="left"/>
        <w:rPr>
          <w:kern w:val="0"/>
          <w:sz w:val="24"/>
          <w:szCs w:val="24"/>
        </w:rPr>
      </w:pPr>
      <w:r>
        <w:rPr>
          <w:kern w:val="0"/>
          <w:sz w:val="24"/>
          <w:szCs w:val="24"/>
        </w:rPr>
        <w:t>Amoxicillin is not suitable for the treatment of some types of infection unless the pathogen is already documented and known to be susceptible or there is a very high likelihood that the pathogen would be suitable for treatment with amoxicillin (see section 5.1). This particularly applies when considering the treatment of patients with urinary tract infections and severe infections of the ear, nose and throat.</w:t>
      </w:r>
    </w:p>
    <w:p>
      <w:pPr>
        <w:widowControl/>
        <w:shd w:val="clear" w:color="auto" w:fill="FFFFFF"/>
        <w:jc w:val="left"/>
        <w:rPr>
          <w:kern w:val="0"/>
          <w:sz w:val="24"/>
          <w:szCs w:val="24"/>
        </w:rPr>
      </w:pPr>
      <w:r>
        <w:rPr>
          <w:kern w:val="0"/>
          <w:sz w:val="24"/>
          <w:szCs w:val="24"/>
        </w:rPr>
        <w:t>Convulsions</w:t>
      </w:r>
    </w:p>
    <w:p>
      <w:pPr>
        <w:widowControl/>
        <w:shd w:val="clear" w:color="auto" w:fill="FFFFFF"/>
        <w:jc w:val="left"/>
        <w:rPr>
          <w:kern w:val="0"/>
          <w:sz w:val="24"/>
          <w:szCs w:val="24"/>
        </w:rPr>
      </w:pPr>
      <w:r>
        <w:rPr>
          <w:kern w:val="0"/>
          <w:sz w:val="24"/>
          <w:szCs w:val="24"/>
        </w:rPr>
        <w:t>Convulsions may occur in patients with impaired renal function or in those receiving high doses or in patients with predisposing factors (e.g. history of seizures, treated epilepsy or meningeal disorders (see section 4.8).</w:t>
      </w:r>
    </w:p>
    <w:p>
      <w:pPr>
        <w:widowControl/>
        <w:shd w:val="clear" w:color="auto" w:fill="FFFFFF"/>
        <w:jc w:val="left"/>
        <w:rPr>
          <w:kern w:val="0"/>
          <w:sz w:val="24"/>
          <w:szCs w:val="24"/>
        </w:rPr>
      </w:pPr>
      <w:r>
        <w:rPr>
          <w:kern w:val="0"/>
          <w:sz w:val="24"/>
          <w:szCs w:val="24"/>
        </w:rPr>
        <w:t>Renal impairment</w:t>
      </w:r>
    </w:p>
    <w:p>
      <w:pPr>
        <w:widowControl/>
        <w:shd w:val="clear" w:color="auto" w:fill="FFFFFF"/>
        <w:jc w:val="left"/>
        <w:rPr>
          <w:kern w:val="0"/>
          <w:sz w:val="24"/>
          <w:szCs w:val="24"/>
        </w:rPr>
      </w:pPr>
      <w:r>
        <w:rPr>
          <w:kern w:val="0"/>
          <w:sz w:val="24"/>
          <w:szCs w:val="24"/>
        </w:rPr>
        <w:t>In patients with renal impairment, the rate of excretion of amoxicillin will be reduced depending on the degree of impairment and it may be necessary to reduce the total daily unit amoxicillin dosage accordingly (see section 4.2).</w:t>
      </w:r>
    </w:p>
    <w:p>
      <w:pPr>
        <w:widowControl/>
        <w:shd w:val="clear" w:color="auto" w:fill="FFFFFF"/>
        <w:jc w:val="left"/>
        <w:rPr>
          <w:kern w:val="0"/>
          <w:sz w:val="24"/>
          <w:szCs w:val="24"/>
        </w:rPr>
      </w:pPr>
      <w:r>
        <w:rPr>
          <w:kern w:val="0"/>
          <w:sz w:val="24"/>
          <w:szCs w:val="24"/>
        </w:rPr>
        <w:t>Skin reactions</w:t>
      </w:r>
    </w:p>
    <w:p>
      <w:pPr>
        <w:widowControl/>
        <w:shd w:val="clear" w:color="auto" w:fill="FFFFFF"/>
        <w:jc w:val="left"/>
        <w:rPr>
          <w:kern w:val="0"/>
          <w:sz w:val="24"/>
          <w:szCs w:val="24"/>
        </w:rPr>
      </w:pPr>
      <w:r>
        <w:rPr>
          <w:kern w:val="0"/>
          <w:sz w:val="24"/>
          <w:szCs w:val="24"/>
        </w:rPr>
        <w:t>The occurrence at the treatment initiation of a feverish generalised erythema associated with pustula may be a symptom of acute generalised exanthemous pustulosis (AEGP, see section 4.8). This reaction requires amoxicillin discontinuation and contra-indicates any subsequent administration.</w:t>
      </w:r>
    </w:p>
    <w:p>
      <w:pPr>
        <w:widowControl/>
        <w:shd w:val="clear" w:color="auto" w:fill="FFFFFF"/>
        <w:jc w:val="left"/>
        <w:rPr>
          <w:kern w:val="0"/>
          <w:sz w:val="24"/>
          <w:szCs w:val="24"/>
        </w:rPr>
      </w:pPr>
      <w:r>
        <w:rPr>
          <w:kern w:val="0"/>
          <w:sz w:val="24"/>
          <w:szCs w:val="24"/>
        </w:rPr>
        <w:t>Amoxicillin should be avoided if infectious mononucleosis is suspected since the occurrence of a morbilliform rash has been associated with this condition following the use of amoxicillin.</w:t>
      </w:r>
    </w:p>
    <w:p>
      <w:pPr>
        <w:widowControl/>
        <w:shd w:val="clear" w:color="auto" w:fill="FFFFFF"/>
        <w:jc w:val="left"/>
        <w:rPr>
          <w:kern w:val="0"/>
          <w:sz w:val="24"/>
          <w:szCs w:val="24"/>
        </w:rPr>
      </w:pPr>
      <w:r>
        <w:rPr>
          <w:kern w:val="0"/>
          <w:sz w:val="24"/>
          <w:szCs w:val="24"/>
        </w:rPr>
        <w:t>Jarisch-Herxheimer reaction</w:t>
      </w:r>
    </w:p>
    <w:p>
      <w:pPr>
        <w:widowControl/>
        <w:shd w:val="clear" w:color="auto" w:fill="FFFFFF"/>
        <w:jc w:val="left"/>
        <w:rPr>
          <w:kern w:val="0"/>
          <w:sz w:val="24"/>
          <w:szCs w:val="24"/>
        </w:rPr>
      </w:pPr>
      <w:r>
        <w:rPr>
          <w:kern w:val="0"/>
          <w:sz w:val="24"/>
          <w:szCs w:val="24"/>
        </w:rPr>
        <w:t xml:space="preserve">The Jarisch-Herxheimer reaction has been seen following amoxicillin treatment of Lyme disease (see section 4.8). It results directly from the bactericidal activity of amoxicillin on the causative bacteria of Lyme disease, the spirochaete </w:t>
      </w:r>
      <w:r>
        <w:rPr>
          <w:iCs/>
          <w:kern w:val="0"/>
          <w:sz w:val="24"/>
          <w:szCs w:val="24"/>
        </w:rPr>
        <w:t>Borrelia burgdorferi</w:t>
      </w:r>
      <w:r>
        <w:rPr>
          <w:kern w:val="0"/>
          <w:sz w:val="24"/>
          <w:szCs w:val="24"/>
        </w:rPr>
        <w:t>. Patients should be reassured that this is a common and usually self-limiting consequence of antibiotic treatment of Lyme disease.</w:t>
      </w:r>
    </w:p>
    <w:p>
      <w:pPr>
        <w:widowControl/>
        <w:shd w:val="clear" w:color="auto" w:fill="FFFFFF"/>
        <w:jc w:val="left"/>
        <w:rPr>
          <w:kern w:val="0"/>
          <w:sz w:val="24"/>
          <w:szCs w:val="24"/>
        </w:rPr>
      </w:pPr>
      <w:r>
        <w:rPr>
          <w:kern w:val="0"/>
          <w:sz w:val="24"/>
          <w:szCs w:val="24"/>
        </w:rPr>
        <w:t>Overgrowth of non-susceptible microorganisms</w:t>
      </w:r>
    </w:p>
    <w:p>
      <w:pPr>
        <w:widowControl/>
        <w:shd w:val="clear" w:color="auto" w:fill="FFFFFF"/>
        <w:jc w:val="left"/>
        <w:rPr>
          <w:kern w:val="0"/>
          <w:sz w:val="24"/>
          <w:szCs w:val="24"/>
        </w:rPr>
      </w:pPr>
      <w:r>
        <w:rPr>
          <w:kern w:val="0"/>
          <w:sz w:val="24"/>
          <w:szCs w:val="24"/>
        </w:rPr>
        <w:t>Prolonged use may also occasionally result in overgrowth of non-susceptible organisms. Antibiotic-associated colitis has been reported with nearly all antibacterial agents and may range in severity from mild to life threatening (see section 4.8). Therefore, it is important to consider this diagnosis in patients who present with diarrhoea during, or subsequent to, the administration of any antibiotics. Should antibiotic-associated colitis occur, amoxicillin should immediately be discontinued, a physician consulted and an appropriate therapy initiated. Anti-peristaltic medicinal products are contra-indicated in this situation.</w:t>
      </w:r>
    </w:p>
    <w:p>
      <w:pPr>
        <w:widowControl/>
        <w:shd w:val="clear" w:color="auto" w:fill="FFFFFF"/>
        <w:jc w:val="left"/>
        <w:rPr>
          <w:kern w:val="0"/>
          <w:sz w:val="24"/>
          <w:szCs w:val="24"/>
        </w:rPr>
      </w:pPr>
      <w:r>
        <w:rPr>
          <w:kern w:val="0"/>
          <w:sz w:val="24"/>
          <w:szCs w:val="24"/>
        </w:rPr>
        <w:t>Prolonged therapy</w:t>
      </w:r>
    </w:p>
    <w:p>
      <w:pPr>
        <w:widowControl/>
        <w:shd w:val="clear" w:color="auto" w:fill="FFFFFF"/>
        <w:jc w:val="left"/>
        <w:rPr>
          <w:kern w:val="0"/>
          <w:sz w:val="24"/>
          <w:szCs w:val="24"/>
        </w:rPr>
      </w:pPr>
      <w:r>
        <w:rPr>
          <w:kern w:val="0"/>
          <w:sz w:val="24"/>
          <w:szCs w:val="24"/>
        </w:rPr>
        <w:t>Periodic assessment of organ system functions; including renal, hepatic and haematopoietic function is advisable during prolonged therapy. Elevated liver enzymes and changes in blood counts have been reported (see section 4.8).</w:t>
      </w:r>
    </w:p>
    <w:p>
      <w:pPr>
        <w:widowControl/>
        <w:shd w:val="clear" w:color="auto" w:fill="FFFFFF"/>
        <w:jc w:val="left"/>
        <w:rPr>
          <w:kern w:val="0"/>
          <w:sz w:val="24"/>
          <w:szCs w:val="24"/>
        </w:rPr>
      </w:pPr>
      <w:r>
        <w:rPr>
          <w:kern w:val="0"/>
          <w:sz w:val="24"/>
          <w:szCs w:val="24"/>
        </w:rPr>
        <w:t>Anticoagulants</w:t>
      </w:r>
    </w:p>
    <w:p>
      <w:pPr>
        <w:widowControl/>
        <w:shd w:val="clear" w:color="auto" w:fill="FFFFFF"/>
        <w:jc w:val="left"/>
        <w:rPr>
          <w:kern w:val="0"/>
          <w:sz w:val="24"/>
          <w:szCs w:val="24"/>
        </w:rPr>
      </w:pPr>
      <w:r>
        <w:rPr>
          <w:kern w:val="0"/>
          <w:sz w:val="24"/>
          <w:szCs w:val="24"/>
        </w:rPr>
        <w:t>Prolongation of prothrombin time has been reported rarely in patients receiving amoxicillin. Appropriate monitoring should be undertaken when anticoagulants are prescribed concomitantly. Adjustments in the dose of oral anticoagulants may be necessary to maintain the desired level of anticoagulation (see section 4.5 and 4.8).</w:t>
      </w:r>
    </w:p>
    <w:p>
      <w:pPr>
        <w:widowControl/>
        <w:shd w:val="clear" w:color="auto" w:fill="FFFFFF"/>
        <w:jc w:val="left"/>
        <w:rPr>
          <w:kern w:val="0"/>
          <w:sz w:val="24"/>
          <w:szCs w:val="24"/>
        </w:rPr>
      </w:pPr>
      <w:r>
        <w:rPr>
          <w:kern w:val="0"/>
          <w:sz w:val="24"/>
          <w:szCs w:val="24"/>
        </w:rPr>
        <w:t>Crystalluria:</w:t>
      </w:r>
    </w:p>
    <w:p>
      <w:pPr>
        <w:widowControl/>
        <w:shd w:val="clear" w:color="auto" w:fill="FFFFFF"/>
        <w:jc w:val="left"/>
        <w:rPr>
          <w:kern w:val="0"/>
          <w:sz w:val="24"/>
          <w:szCs w:val="24"/>
        </w:rPr>
      </w:pPr>
      <w:r>
        <w:rPr>
          <w:kern w:val="0"/>
          <w:sz w:val="24"/>
          <w:szCs w:val="24"/>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 (see section 4.8 and 4.9).</w:t>
      </w:r>
    </w:p>
    <w:p>
      <w:pPr>
        <w:widowControl/>
        <w:shd w:val="clear" w:color="auto" w:fill="FFFFFF"/>
        <w:jc w:val="left"/>
        <w:rPr>
          <w:kern w:val="0"/>
          <w:sz w:val="24"/>
          <w:szCs w:val="24"/>
        </w:rPr>
      </w:pPr>
      <w:r>
        <w:rPr>
          <w:kern w:val="0"/>
          <w:sz w:val="24"/>
          <w:szCs w:val="24"/>
        </w:rPr>
        <w:t>Interference with diagnostic tests</w:t>
      </w:r>
    </w:p>
    <w:p>
      <w:pPr>
        <w:widowControl/>
        <w:shd w:val="clear" w:color="auto" w:fill="FFFFFF"/>
        <w:jc w:val="left"/>
        <w:rPr>
          <w:kern w:val="0"/>
          <w:sz w:val="24"/>
          <w:szCs w:val="24"/>
        </w:rPr>
      </w:pPr>
      <w:r>
        <w:rPr>
          <w:kern w:val="0"/>
          <w:sz w:val="24"/>
          <w:szCs w:val="24"/>
        </w:rPr>
        <w:t>Elevated serum and urinary levels of amoxicillin are likely to affect certain laboratory tests. Due to the high urinary concentrations of amoxicillin, false positive readings are common with chemical methods.</w:t>
      </w:r>
    </w:p>
    <w:p>
      <w:pPr>
        <w:widowControl/>
        <w:shd w:val="clear" w:color="auto" w:fill="FFFFFF"/>
        <w:jc w:val="left"/>
        <w:rPr>
          <w:kern w:val="0"/>
          <w:sz w:val="24"/>
          <w:szCs w:val="24"/>
        </w:rPr>
      </w:pPr>
      <w:r>
        <w:rPr>
          <w:kern w:val="0"/>
          <w:sz w:val="24"/>
          <w:szCs w:val="24"/>
        </w:rPr>
        <w:t>It is recommended that when testing for the presence of glucose in urine during amoxicillin treatment, enzymatic glucose oxidase methods should be used.</w:t>
      </w:r>
    </w:p>
    <w:p>
      <w:pPr>
        <w:widowControl/>
        <w:shd w:val="clear" w:color="auto" w:fill="FFFFFF"/>
        <w:jc w:val="left"/>
        <w:rPr>
          <w:kern w:val="0"/>
          <w:sz w:val="24"/>
          <w:szCs w:val="24"/>
        </w:rPr>
      </w:pPr>
      <w:r>
        <w:rPr>
          <w:kern w:val="0"/>
          <w:sz w:val="24"/>
          <w:szCs w:val="24"/>
        </w:rPr>
        <w:t>The presence of amoxicillin may distort assay results for oestriol in pregnant women.</w:t>
      </w:r>
    </w:p>
    <w:p>
      <w:pPr>
        <w:widowControl/>
        <w:shd w:val="clear" w:color="auto" w:fill="FFFFFF"/>
        <w:jc w:val="left"/>
        <w:rPr>
          <w:kern w:val="0"/>
          <w:sz w:val="24"/>
          <w:szCs w:val="24"/>
        </w:rPr>
      </w:pPr>
      <w:r>
        <w:rPr>
          <w:kern w:val="0"/>
          <w:sz w:val="24"/>
          <w:szCs w:val="24"/>
        </w:rPr>
        <w:t>Important information about excipients</w:t>
      </w:r>
    </w:p>
    <w:p>
      <w:pPr>
        <w:widowControl/>
        <w:shd w:val="clear" w:color="auto" w:fill="FFFFFF"/>
        <w:jc w:val="left"/>
        <w:rPr>
          <w:sz w:val="24"/>
          <w:szCs w:val="24"/>
        </w:rPr>
      </w:pPr>
      <w:r>
        <w:rPr>
          <w:kern w:val="0"/>
          <w:sz w:val="24"/>
          <w:szCs w:val="24"/>
        </w:rPr>
        <w:t>The capsules contain sunset yellow, E110 which can cause allergic-type reactions including asthma.</w:t>
      </w:r>
    </w:p>
    <w:p>
      <w:pPr>
        <w:jc w:val="left"/>
        <w:rPr>
          <w:sz w:val="24"/>
          <w:szCs w:val="24"/>
        </w:rPr>
      </w:pPr>
      <w:r>
        <w:rPr>
          <w:sz w:val="24"/>
          <w:szCs w:val="24"/>
        </w:rPr>
        <w:t>4.5 Interaction with other medicinal products and other forms of interaction</w:t>
      </w:r>
    </w:p>
    <w:p>
      <w:pPr>
        <w:widowControl/>
        <w:shd w:val="clear" w:color="auto" w:fill="FFFFFF"/>
        <w:jc w:val="left"/>
        <w:rPr>
          <w:kern w:val="0"/>
          <w:sz w:val="24"/>
          <w:szCs w:val="24"/>
        </w:rPr>
      </w:pPr>
      <w:r>
        <w:rPr>
          <w:kern w:val="0"/>
          <w:sz w:val="24"/>
          <w:szCs w:val="24"/>
        </w:rPr>
        <w:t>Probenecid:</w:t>
      </w:r>
    </w:p>
    <w:p>
      <w:pPr>
        <w:widowControl/>
        <w:shd w:val="clear" w:color="auto" w:fill="FFFFFF"/>
        <w:jc w:val="left"/>
        <w:rPr>
          <w:kern w:val="0"/>
          <w:sz w:val="24"/>
          <w:szCs w:val="24"/>
        </w:rPr>
      </w:pPr>
      <w:r>
        <w:rPr>
          <w:kern w:val="0"/>
          <w:sz w:val="24"/>
          <w:szCs w:val="24"/>
        </w:rPr>
        <w:t>Concomitant use of probenecid is not recommended. Probenecid decreases the renal tubular secretion of amoxicillin. Concomitant use of probenecid may result in increased and prolonged blood levels of amoxicillin.</w:t>
      </w:r>
    </w:p>
    <w:p>
      <w:pPr>
        <w:widowControl/>
        <w:shd w:val="clear" w:color="auto" w:fill="FFFFFF"/>
        <w:jc w:val="left"/>
        <w:rPr>
          <w:kern w:val="0"/>
          <w:sz w:val="24"/>
          <w:szCs w:val="24"/>
        </w:rPr>
      </w:pPr>
      <w:r>
        <w:rPr>
          <w:kern w:val="0"/>
          <w:sz w:val="24"/>
          <w:szCs w:val="24"/>
        </w:rPr>
        <w:t>Allopurinol:</w:t>
      </w:r>
    </w:p>
    <w:p>
      <w:pPr>
        <w:widowControl/>
        <w:shd w:val="clear" w:color="auto" w:fill="FFFFFF"/>
        <w:jc w:val="left"/>
        <w:rPr>
          <w:kern w:val="0"/>
          <w:sz w:val="24"/>
          <w:szCs w:val="24"/>
        </w:rPr>
      </w:pPr>
      <w:r>
        <w:rPr>
          <w:kern w:val="0"/>
          <w:sz w:val="24"/>
          <w:szCs w:val="24"/>
        </w:rPr>
        <w:t>Concurrent administration of allopurinol during treatment with amoxicillin can increase the likelihood of allergic skin reactions.</w:t>
      </w:r>
    </w:p>
    <w:p>
      <w:pPr>
        <w:widowControl/>
        <w:shd w:val="clear" w:color="auto" w:fill="FFFFFF"/>
        <w:jc w:val="left"/>
        <w:rPr>
          <w:kern w:val="0"/>
          <w:sz w:val="24"/>
          <w:szCs w:val="24"/>
        </w:rPr>
      </w:pPr>
      <w:r>
        <w:rPr>
          <w:kern w:val="0"/>
          <w:sz w:val="24"/>
          <w:szCs w:val="24"/>
        </w:rPr>
        <w:t>Tetracyclines :</w:t>
      </w:r>
    </w:p>
    <w:p>
      <w:pPr>
        <w:widowControl/>
        <w:shd w:val="clear" w:color="auto" w:fill="FFFFFF"/>
        <w:jc w:val="left"/>
        <w:rPr>
          <w:kern w:val="0"/>
          <w:sz w:val="24"/>
          <w:szCs w:val="24"/>
        </w:rPr>
      </w:pPr>
      <w:r>
        <w:rPr>
          <w:kern w:val="0"/>
          <w:sz w:val="24"/>
          <w:szCs w:val="24"/>
        </w:rPr>
        <w:t>Tetracyclines and other bacteriostatic drugs may interfere with the bactericidal effects of amoxicillin.</w:t>
      </w:r>
    </w:p>
    <w:p>
      <w:pPr>
        <w:widowControl/>
        <w:shd w:val="clear" w:color="auto" w:fill="FFFFFF"/>
        <w:jc w:val="left"/>
        <w:rPr>
          <w:kern w:val="0"/>
          <w:sz w:val="24"/>
          <w:szCs w:val="24"/>
        </w:rPr>
      </w:pPr>
      <w:r>
        <w:rPr>
          <w:kern w:val="0"/>
          <w:sz w:val="24"/>
          <w:szCs w:val="24"/>
        </w:rPr>
        <w:t>Oral anticoagulants:</w:t>
      </w:r>
    </w:p>
    <w:p>
      <w:pPr>
        <w:widowControl/>
        <w:shd w:val="clear" w:color="auto" w:fill="FFFFFF"/>
        <w:jc w:val="left"/>
        <w:rPr>
          <w:kern w:val="0"/>
          <w:sz w:val="24"/>
          <w:szCs w:val="24"/>
        </w:rPr>
      </w:pPr>
      <w:r>
        <w:rPr>
          <w:kern w:val="0"/>
          <w:sz w:val="24"/>
          <w:szCs w:val="24"/>
        </w:rPr>
        <w:t>Oral anticoagulants and penicillin antibiotics have been widely used in practice without reports of interaction. However, in the literature there are cases of increased international normalised ratio in patients maintained on acenocoumarol or warfarin and prescribed a course of amoxicillin. If co-administration is necessary, the prothrombin time or international normalised ratio should be carefully monitored with the addition or withdrawal of amoxicillin. Moreover, adjustments in the dose of oral anticoagulants may be necessary (see sections 4.4 and 4.8).</w:t>
      </w:r>
    </w:p>
    <w:p>
      <w:pPr>
        <w:widowControl/>
        <w:shd w:val="clear" w:color="auto" w:fill="FFFFFF"/>
        <w:jc w:val="left"/>
        <w:rPr>
          <w:kern w:val="0"/>
          <w:sz w:val="24"/>
          <w:szCs w:val="24"/>
        </w:rPr>
      </w:pPr>
      <w:r>
        <w:rPr>
          <w:kern w:val="0"/>
          <w:sz w:val="24"/>
          <w:szCs w:val="24"/>
        </w:rPr>
        <w:t>Methotrexate</w:t>
      </w:r>
    </w:p>
    <w:p>
      <w:pPr>
        <w:widowControl/>
        <w:shd w:val="clear" w:color="auto" w:fill="FFFFFF"/>
        <w:jc w:val="left"/>
        <w:rPr>
          <w:kern w:val="0"/>
          <w:sz w:val="24"/>
          <w:szCs w:val="24"/>
        </w:rPr>
      </w:pPr>
      <w:r>
        <w:rPr>
          <w:kern w:val="0"/>
          <w:sz w:val="24"/>
          <w:szCs w:val="24"/>
        </w:rPr>
        <w:t>Penicillins may reduce the excretion of methotrexate causing a potential increase in toxicity.</w:t>
      </w:r>
    </w:p>
    <w:p>
      <w:pPr>
        <w:jc w:val="left"/>
        <w:rPr>
          <w:sz w:val="24"/>
          <w:szCs w:val="24"/>
        </w:rPr>
      </w:pPr>
    </w:p>
    <w:p>
      <w:pPr>
        <w:jc w:val="left"/>
        <w:rPr>
          <w:sz w:val="24"/>
          <w:szCs w:val="24"/>
        </w:rPr>
      </w:pPr>
      <w:r>
        <w:rPr>
          <w:sz w:val="24"/>
          <w:szCs w:val="24"/>
        </w:rPr>
        <w:t>4.6 Pregnancy and lactation</w:t>
      </w:r>
    </w:p>
    <w:p>
      <w:pPr>
        <w:widowControl/>
        <w:shd w:val="clear" w:color="auto" w:fill="FFFFFF"/>
        <w:jc w:val="left"/>
        <w:rPr>
          <w:kern w:val="0"/>
          <w:sz w:val="24"/>
          <w:szCs w:val="24"/>
        </w:rPr>
      </w:pPr>
      <w:r>
        <w:rPr>
          <w:kern w:val="0"/>
          <w:sz w:val="24"/>
          <w:szCs w:val="24"/>
        </w:rPr>
        <w:t>Pregnancy:</w:t>
      </w:r>
    </w:p>
    <w:p>
      <w:pPr>
        <w:widowControl/>
        <w:shd w:val="clear" w:color="auto" w:fill="FFFFFF"/>
        <w:jc w:val="left"/>
        <w:rPr>
          <w:kern w:val="0"/>
          <w:sz w:val="24"/>
          <w:szCs w:val="24"/>
        </w:rPr>
      </w:pPr>
      <w:r>
        <w:rPr>
          <w:kern w:val="0"/>
          <w:sz w:val="24"/>
          <w:szCs w:val="24"/>
        </w:rPr>
        <w:t>Animal studies do not indicate direct or indirect harmful effects with respect to reproductive toxicity. Limited data on the use of amoxicillin during pregnancy in humans do not indicate an increased risk of congenital malformations. Amoxicillin may be used in pregnancy when the potential benefits outweigh the potential risks associated with treatment.</w:t>
      </w:r>
    </w:p>
    <w:p>
      <w:pPr>
        <w:widowControl/>
        <w:shd w:val="clear" w:color="auto" w:fill="FFFFFF"/>
        <w:jc w:val="left"/>
        <w:rPr>
          <w:kern w:val="0"/>
          <w:sz w:val="24"/>
          <w:szCs w:val="24"/>
        </w:rPr>
      </w:pPr>
      <w:r>
        <w:rPr>
          <w:kern w:val="0"/>
          <w:sz w:val="24"/>
          <w:szCs w:val="24"/>
        </w:rPr>
        <w:t>Breastfeeding</w:t>
      </w:r>
    </w:p>
    <w:p>
      <w:pPr>
        <w:widowControl/>
        <w:shd w:val="clear" w:color="auto" w:fill="FFFFFF"/>
        <w:jc w:val="left"/>
        <w:rPr>
          <w:kern w:val="0"/>
          <w:sz w:val="24"/>
          <w:szCs w:val="24"/>
        </w:rPr>
      </w:pPr>
      <w:r>
        <w:rPr>
          <w:kern w:val="0"/>
          <w:sz w:val="24"/>
          <w:szCs w:val="24"/>
        </w:rPr>
        <w:t>Amoxicillin is excreted into breast milk in small quantities with the possible risk of sensitisation. Consequently, diarrhoea and fungus infection of the mucous membranes are possible in the breast-fed infant, so that breast-feeding might have to be discontinued. Amoxicillin should only be used during breast-feeding after benefit/risk assessment by the physician in charge.</w:t>
      </w:r>
    </w:p>
    <w:p>
      <w:pPr>
        <w:widowControl/>
        <w:shd w:val="clear" w:color="auto" w:fill="FFFFFF"/>
        <w:jc w:val="left"/>
        <w:rPr>
          <w:kern w:val="0"/>
          <w:sz w:val="24"/>
          <w:szCs w:val="24"/>
        </w:rPr>
      </w:pPr>
      <w:r>
        <w:rPr>
          <w:kern w:val="0"/>
          <w:sz w:val="24"/>
          <w:szCs w:val="24"/>
        </w:rPr>
        <w:t>Fertility:</w:t>
      </w:r>
    </w:p>
    <w:p>
      <w:pPr>
        <w:widowControl/>
        <w:shd w:val="clear" w:color="auto" w:fill="FFFFFF"/>
        <w:jc w:val="left"/>
        <w:rPr>
          <w:sz w:val="24"/>
          <w:szCs w:val="24"/>
        </w:rPr>
      </w:pPr>
      <w:r>
        <w:rPr>
          <w:kern w:val="0"/>
          <w:sz w:val="24"/>
          <w:szCs w:val="24"/>
        </w:rPr>
        <w:t>There are no data on the effects of amoxicillin on fertility in humans. Reproductive studies in animals have shown no effects on fertility.</w:t>
      </w:r>
    </w:p>
    <w:p>
      <w:pPr>
        <w:jc w:val="left"/>
        <w:rPr>
          <w:sz w:val="24"/>
          <w:szCs w:val="24"/>
        </w:rPr>
      </w:pPr>
      <w:r>
        <w:rPr>
          <w:sz w:val="24"/>
          <w:szCs w:val="24"/>
        </w:rPr>
        <w:t>4.7 Effects on ability to drive and use machines</w:t>
      </w:r>
    </w:p>
    <w:p>
      <w:pPr>
        <w:jc w:val="left"/>
        <w:rPr>
          <w:sz w:val="24"/>
          <w:szCs w:val="24"/>
        </w:rPr>
      </w:pPr>
      <w:r>
        <w:rPr>
          <w:sz w:val="24"/>
          <w:szCs w:val="24"/>
          <w:shd w:val="clear" w:color="auto" w:fill="FFFFFF"/>
        </w:rPr>
        <w:t>No studies on the effects on the ability to drive and use machines have been performed. However, undesirable effects may occur (e.g. allergic reactions, dizziness, convulsions), which may influence the ability to drive and use machines (see section 4.8).</w:t>
      </w:r>
      <w:r>
        <w:rPr>
          <w:sz w:val="24"/>
          <w:szCs w:val="24"/>
        </w:rPr>
        <w:t xml:space="preserve"> </w:t>
      </w:r>
    </w:p>
    <w:p>
      <w:pPr>
        <w:jc w:val="left"/>
        <w:rPr>
          <w:sz w:val="24"/>
          <w:szCs w:val="24"/>
        </w:rPr>
      </w:pPr>
      <w:r>
        <w:rPr>
          <w:sz w:val="24"/>
          <w:szCs w:val="24"/>
        </w:rPr>
        <w:t>4.8 Undesirable effects</w:t>
      </w:r>
    </w:p>
    <w:p>
      <w:pPr>
        <w:widowControl/>
        <w:shd w:val="clear" w:color="auto" w:fill="FFFFFF"/>
        <w:jc w:val="left"/>
        <w:rPr>
          <w:kern w:val="0"/>
          <w:sz w:val="24"/>
          <w:szCs w:val="24"/>
        </w:rPr>
      </w:pPr>
      <w:r>
        <w:rPr>
          <w:kern w:val="0"/>
          <w:sz w:val="24"/>
          <w:szCs w:val="24"/>
        </w:rPr>
        <w:t>The most commonly reported adverse drug reactions (ADRs) are diarrhoea, nausea and skin rash.</w:t>
      </w:r>
    </w:p>
    <w:p>
      <w:pPr>
        <w:widowControl/>
        <w:shd w:val="clear" w:color="auto" w:fill="FFFFFF"/>
        <w:jc w:val="left"/>
        <w:rPr>
          <w:kern w:val="0"/>
          <w:sz w:val="24"/>
          <w:szCs w:val="24"/>
        </w:rPr>
      </w:pPr>
      <w:r>
        <w:rPr>
          <w:kern w:val="0"/>
          <w:sz w:val="24"/>
          <w:szCs w:val="24"/>
        </w:rPr>
        <w:t>The ADRs derived from clinical studies and post-marketing surveillance with amoxicillin, presented by MedDRA System Organ Class are listed below.</w:t>
      </w:r>
    </w:p>
    <w:p>
      <w:pPr>
        <w:widowControl/>
        <w:shd w:val="clear" w:color="auto" w:fill="FFFFFF"/>
        <w:jc w:val="left"/>
        <w:rPr>
          <w:kern w:val="0"/>
          <w:sz w:val="24"/>
          <w:szCs w:val="24"/>
        </w:rPr>
      </w:pPr>
      <w:r>
        <w:rPr>
          <w:kern w:val="0"/>
          <w:sz w:val="24"/>
          <w:szCs w:val="24"/>
        </w:rPr>
        <w:t>The following terminologies have been used in order to classify the occurrence of undesirable effects.</w:t>
      </w:r>
    </w:p>
    <w:p>
      <w:pPr>
        <w:widowControl/>
        <w:shd w:val="clear" w:color="auto" w:fill="FFFFFF"/>
        <w:jc w:val="left"/>
        <w:rPr>
          <w:kern w:val="0"/>
          <w:sz w:val="24"/>
          <w:szCs w:val="24"/>
        </w:rPr>
      </w:pPr>
      <w:r>
        <w:rPr>
          <w:kern w:val="0"/>
          <w:sz w:val="24"/>
          <w:szCs w:val="24"/>
        </w:rPr>
        <w:t>Very common (≥1/10)</w:t>
      </w:r>
    </w:p>
    <w:p>
      <w:pPr>
        <w:widowControl/>
        <w:shd w:val="clear" w:color="auto" w:fill="FFFFFF"/>
        <w:jc w:val="left"/>
        <w:rPr>
          <w:kern w:val="0"/>
          <w:sz w:val="24"/>
          <w:szCs w:val="24"/>
        </w:rPr>
      </w:pPr>
      <w:r>
        <w:rPr>
          <w:kern w:val="0"/>
          <w:sz w:val="24"/>
          <w:szCs w:val="24"/>
        </w:rPr>
        <w:t>Common (≥1/100 to &lt;1/10)</w:t>
      </w:r>
    </w:p>
    <w:p>
      <w:pPr>
        <w:widowControl/>
        <w:shd w:val="clear" w:color="auto" w:fill="FFFFFF"/>
        <w:jc w:val="left"/>
        <w:rPr>
          <w:kern w:val="0"/>
          <w:sz w:val="24"/>
          <w:szCs w:val="24"/>
        </w:rPr>
      </w:pPr>
      <w:r>
        <w:rPr>
          <w:kern w:val="0"/>
          <w:sz w:val="24"/>
          <w:szCs w:val="24"/>
        </w:rPr>
        <w:t>Uncommon (≥1/1,000 to &lt;1/100)</w:t>
      </w:r>
    </w:p>
    <w:p>
      <w:pPr>
        <w:widowControl/>
        <w:shd w:val="clear" w:color="auto" w:fill="FFFFFF"/>
        <w:jc w:val="left"/>
        <w:rPr>
          <w:kern w:val="0"/>
          <w:sz w:val="24"/>
          <w:szCs w:val="24"/>
        </w:rPr>
      </w:pPr>
      <w:r>
        <w:rPr>
          <w:kern w:val="0"/>
          <w:sz w:val="24"/>
          <w:szCs w:val="24"/>
        </w:rPr>
        <w:t>Rare (≥1/10,000 to &lt;1/1,000)</w:t>
      </w:r>
    </w:p>
    <w:p>
      <w:pPr>
        <w:widowControl/>
        <w:shd w:val="clear" w:color="auto" w:fill="FFFFFF"/>
        <w:jc w:val="left"/>
        <w:rPr>
          <w:kern w:val="0"/>
          <w:sz w:val="24"/>
          <w:szCs w:val="24"/>
        </w:rPr>
      </w:pPr>
      <w:r>
        <w:rPr>
          <w:kern w:val="0"/>
          <w:sz w:val="24"/>
          <w:szCs w:val="24"/>
        </w:rPr>
        <w:t>Very rare (&lt;1/10,000)</w:t>
      </w:r>
    </w:p>
    <w:p>
      <w:pPr>
        <w:widowControl/>
        <w:shd w:val="clear" w:color="auto" w:fill="FFFFFF"/>
        <w:jc w:val="left"/>
        <w:rPr>
          <w:kern w:val="0"/>
          <w:sz w:val="24"/>
          <w:szCs w:val="24"/>
        </w:rPr>
      </w:pPr>
      <w:r>
        <w:rPr>
          <w:kern w:val="0"/>
          <w:sz w:val="24"/>
          <w:szCs w:val="24"/>
        </w:rPr>
        <w:t>Not known (cannot be estimated from the available data)</w:t>
      </w:r>
    </w:p>
    <w:tbl>
      <w:tblPr>
        <w:tblStyle w:val="5"/>
        <w:tblW w:w="0" w:type="auto"/>
        <w:jc w:val="center"/>
        <w:shd w:val="clear" w:color="auto" w:fill="FFFFFF"/>
        <w:tblLayout w:type="fixed"/>
        <w:tblCellMar>
          <w:top w:w="30" w:type="dxa"/>
          <w:left w:w="30" w:type="dxa"/>
          <w:bottom w:w="30" w:type="dxa"/>
          <w:right w:w="30" w:type="dxa"/>
        </w:tblCellMar>
      </w:tblPr>
      <w:tblGrid>
        <w:gridCol w:w="2073"/>
        <w:gridCol w:w="7448"/>
      </w:tblGrid>
      <w:tr>
        <w:tblPrEx>
          <w:shd w:val="clear" w:color="auto" w:fill="FFFFFF"/>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Infections and infestations</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Mucocutaneous candidiasis</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Blood and lymphatic system disorders</w:t>
            </w:r>
          </w:p>
        </w:tc>
      </w:tr>
      <w:tr>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Reversible leucopenia (including severe neutropenia or agranulocytosis), reversible thrombocytopenia and haemolytic anaemia.</w:t>
            </w:r>
          </w:p>
          <w:p>
            <w:pPr>
              <w:widowControl/>
              <w:jc w:val="left"/>
              <w:rPr>
                <w:kern w:val="0"/>
                <w:sz w:val="24"/>
                <w:szCs w:val="24"/>
              </w:rPr>
            </w:pPr>
            <w:r>
              <w:rPr>
                <w:kern w:val="0"/>
                <w:sz w:val="24"/>
                <w:szCs w:val="24"/>
              </w:rPr>
              <w:t>Prolongation of bleeding time and prothrombin time (see section 4.4 - Special Warnings and Precautions for Use.</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Immune system disorders</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Severe allergic reactions, including angioneurotic oedema, anaphylaxis, serum sickness and hypersensitivity vasculitis (see section 4.4).</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Not Known:</w:t>
            </w:r>
          </w:p>
        </w:tc>
        <w:tc>
          <w:tcPr>
            <w:tcW w:w="7448" w:type="dxa"/>
            <w:shd w:val="clear" w:color="auto" w:fill="FFFFFF"/>
          </w:tcPr>
          <w:p>
            <w:pPr>
              <w:widowControl/>
              <w:jc w:val="left"/>
              <w:rPr>
                <w:kern w:val="0"/>
                <w:sz w:val="24"/>
                <w:szCs w:val="24"/>
              </w:rPr>
            </w:pPr>
            <w:r>
              <w:rPr>
                <w:kern w:val="0"/>
                <w:sz w:val="24"/>
                <w:szCs w:val="24"/>
              </w:rPr>
              <w:t>Jarisch-Herxheimer reaction (see section 4.4).</w:t>
            </w:r>
          </w:p>
        </w:tc>
      </w:tr>
      <w:tr>
        <w:trPr>
          <w:jc w:val="center"/>
        </w:trPr>
        <w:tc>
          <w:tcPr>
            <w:tcW w:w="9521" w:type="dxa"/>
            <w:gridSpan w:val="2"/>
            <w:shd w:val="clear" w:color="auto" w:fill="FFFFFF"/>
          </w:tcPr>
          <w:p>
            <w:pPr>
              <w:widowControl/>
              <w:jc w:val="left"/>
              <w:rPr>
                <w:kern w:val="0"/>
                <w:sz w:val="24"/>
                <w:szCs w:val="24"/>
              </w:rPr>
            </w:pPr>
            <w:r>
              <w:rPr>
                <w:kern w:val="0"/>
                <w:sz w:val="24"/>
                <w:szCs w:val="24"/>
              </w:rPr>
              <w:t>Nervous system disorders</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Hyperkinesia, dizziness and convulsions (see section 4.4).</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Gastrointestinal disorders</w:t>
            </w:r>
          </w:p>
          <w:p>
            <w:pPr>
              <w:widowControl/>
              <w:jc w:val="left"/>
              <w:rPr>
                <w:kern w:val="0"/>
                <w:sz w:val="24"/>
                <w:szCs w:val="24"/>
              </w:rPr>
            </w:pPr>
            <w:r>
              <w:rPr>
                <w:kern w:val="0"/>
                <w:sz w:val="24"/>
                <w:szCs w:val="24"/>
              </w:rPr>
              <w:t>Clinical Trial Data</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*Common:</w:t>
            </w:r>
          </w:p>
        </w:tc>
        <w:tc>
          <w:tcPr>
            <w:tcW w:w="7448" w:type="dxa"/>
            <w:shd w:val="clear" w:color="auto" w:fill="FFFFFF"/>
          </w:tcPr>
          <w:p>
            <w:pPr>
              <w:widowControl/>
              <w:jc w:val="left"/>
              <w:rPr>
                <w:kern w:val="0"/>
                <w:sz w:val="24"/>
                <w:szCs w:val="24"/>
              </w:rPr>
            </w:pPr>
            <w:r>
              <w:rPr>
                <w:kern w:val="0"/>
                <w:sz w:val="24"/>
                <w:szCs w:val="24"/>
              </w:rPr>
              <w:t>Diarrhoea and nausea.</w:t>
            </w:r>
          </w:p>
        </w:tc>
      </w:tr>
      <w:tr>
        <w:trPr>
          <w:jc w:val="center"/>
        </w:trPr>
        <w:tc>
          <w:tcPr>
            <w:tcW w:w="2073" w:type="dxa"/>
            <w:shd w:val="clear" w:color="auto" w:fill="FFFFFF"/>
          </w:tcPr>
          <w:p>
            <w:pPr>
              <w:widowControl/>
              <w:jc w:val="left"/>
              <w:rPr>
                <w:kern w:val="0"/>
                <w:sz w:val="24"/>
                <w:szCs w:val="24"/>
              </w:rPr>
            </w:pPr>
            <w:r>
              <w:rPr>
                <w:kern w:val="0"/>
                <w:sz w:val="24"/>
                <w:szCs w:val="24"/>
              </w:rPr>
              <w:t>*Uncommon:</w:t>
            </w:r>
          </w:p>
        </w:tc>
        <w:tc>
          <w:tcPr>
            <w:tcW w:w="7448" w:type="dxa"/>
            <w:shd w:val="clear" w:color="auto" w:fill="FFFFFF"/>
          </w:tcPr>
          <w:p>
            <w:pPr>
              <w:widowControl/>
              <w:jc w:val="left"/>
              <w:rPr>
                <w:kern w:val="0"/>
                <w:sz w:val="24"/>
                <w:szCs w:val="24"/>
              </w:rPr>
            </w:pPr>
            <w:r>
              <w:rPr>
                <w:kern w:val="0"/>
                <w:sz w:val="24"/>
                <w:szCs w:val="24"/>
              </w:rPr>
              <w:t>Vomiting.</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Post-marketing Data</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Antibiotic associated colitis (including pseudomembraneous colitis and haemorrhagic colitis see section 4.4).</w:t>
            </w:r>
          </w:p>
          <w:p>
            <w:pPr>
              <w:widowControl/>
              <w:jc w:val="left"/>
              <w:rPr>
                <w:kern w:val="0"/>
                <w:sz w:val="24"/>
                <w:szCs w:val="24"/>
              </w:rPr>
            </w:pPr>
            <w:r>
              <w:rPr>
                <w:kern w:val="0"/>
                <w:sz w:val="24"/>
                <w:szCs w:val="24"/>
              </w:rPr>
              <w:t>Black hairy tongue</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Hepato-biliary disorders</w:t>
            </w:r>
          </w:p>
        </w:tc>
      </w:tr>
      <w:tr>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Hepatitis and cholestatic jaundice. A moderate rise in AST and/or ALT.</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Skin and subcutaneous tissue disorders</w:t>
            </w:r>
          </w:p>
          <w:p>
            <w:pPr>
              <w:widowControl/>
              <w:jc w:val="left"/>
              <w:rPr>
                <w:kern w:val="0"/>
                <w:sz w:val="24"/>
                <w:szCs w:val="24"/>
              </w:rPr>
            </w:pPr>
            <w:r>
              <w:rPr>
                <w:kern w:val="0"/>
                <w:sz w:val="24"/>
                <w:szCs w:val="24"/>
              </w:rPr>
              <w:t>Clinical Trial Data</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*Common:</w:t>
            </w:r>
          </w:p>
        </w:tc>
        <w:tc>
          <w:tcPr>
            <w:tcW w:w="7448" w:type="dxa"/>
            <w:shd w:val="clear" w:color="auto" w:fill="FFFFFF"/>
          </w:tcPr>
          <w:p>
            <w:pPr>
              <w:widowControl/>
              <w:jc w:val="left"/>
              <w:rPr>
                <w:kern w:val="0"/>
                <w:sz w:val="24"/>
                <w:szCs w:val="24"/>
              </w:rPr>
            </w:pPr>
            <w:r>
              <w:rPr>
                <w:kern w:val="0"/>
                <w:sz w:val="24"/>
                <w:szCs w:val="24"/>
              </w:rPr>
              <w:t>Skin rash</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*Uncommon:</w:t>
            </w:r>
          </w:p>
        </w:tc>
        <w:tc>
          <w:tcPr>
            <w:tcW w:w="7448" w:type="dxa"/>
            <w:shd w:val="clear" w:color="auto" w:fill="FFFFFF"/>
          </w:tcPr>
          <w:p>
            <w:pPr>
              <w:widowControl/>
              <w:jc w:val="left"/>
              <w:rPr>
                <w:kern w:val="0"/>
                <w:sz w:val="24"/>
                <w:szCs w:val="24"/>
              </w:rPr>
            </w:pPr>
            <w:r>
              <w:rPr>
                <w:kern w:val="0"/>
                <w:sz w:val="24"/>
                <w:szCs w:val="24"/>
              </w:rPr>
              <w:t>Urticaria and pruritus</w:t>
            </w:r>
          </w:p>
        </w:tc>
      </w:tr>
      <w:tr>
        <w:trPr>
          <w:jc w:val="center"/>
        </w:trPr>
        <w:tc>
          <w:tcPr>
            <w:tcW w:w="9521" w:type="dxa"/>
            <w:gridSpan w:val="2"/>
            <w:shd w:val="clear" w:color="auto" w:fill="FFFFFF"/>
          </w:tcPr>
          <w:p>
            <w:pPr>
              <w:widowControl/>
              <w:jc w:val="left"/>
              <w:rPr>
                <w:kern w:val="0"/>
                <w:sz w:val="24"/>
                <w:szCs w:val="24"/>
              </w:rPr>
            </w:pPr>
            <w:r>
              <w:rPr>
                <w:kern w:val="0"/>
                <w:sz w:val="24"/>
                <w:szCs w:val="24"/>
              </w:rPr>
              <w:t>Post-marketing Data</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Skin reactions such as erythema multiforme, Stevens-Johnson syndrome, toxic epidermal necrolysis, bullous and exfoliative dermatitis and acute generalized exanthematous pustulosis (AGEP) (See section 4.4).</w:t>
            </w:r>
          </w:p>
        </w:tc>
      </w:tr>
      <w:tr>
        <w:tblPrEx>
          <w:tblCellMar>
            <w:top w:w="30" w:type="dxa"/>
            <w:left w:w="30" w:type="dxa"/>
            <w:bottom w:w="30" w:type="dxa"/>
            <w:right w:w="30" w:type="dxa"/>
          </w:tblCellMar>
        </w:tblPrEx>
        <w:trPr>
          <w:jc w:val="center"/>
        </w:trPr>
        <w:tc>
          <w:tcPr>
            <w:tcW w:w="9521" w:type="dxa"/>
            <w:gridSpan w:val="2"/>
            <w:shd w:val="clear" w:color="auto" w:fill="FFFFFF"/>
          </w:tcPr>
          <w:p>
            <w:pPr>
              <w:widowControl/>
              <w:jc w:val="left"/>
              <w:rPr>
                <w:kern w:val="0"/>
                <w:sz w:val="24"/>
                <w:szCs w:val="24"/>
              </w:rPr>
            </w:pPr>
            <w:r>
              <w:rPr>
                <w:kern w:val="0"/>
                <w:sz w:val="24"/>
                <w:szCs w:val="24"/>
              </w:rPr>
              <w:t>Renal and urinary tract disorders</w:t>
            </w:r>
          </w:p>
        </w:tc>
      </w:tr>
      <w:tr>
        <w:tblPrEx>
          <w:tblCellMar>
            <w:top w:w="30" w:type="dxa"/>
            <w:left w:w="30" w:type="dxa"/>
            <w:bottom w:w="30" w:type="dxa"/>
            <w:right w:w="30" w:type="dxa"/>
          </w:tblCellMar>
        </w:tblPrEx>
        <w:trPr>
          <w:jc w:val="center"/>
        </w:trPr>
        <w:tc>
          <w:tcPr>
            <w:tcW w:w="2073" w:type="dxa"/>
            <w:shd w:val="clear" w:color="auto" w:fill="FFFFFF"/>
          </w:tcPr>
          <w:p>
            <w:pPr>
              <w:widowControl/>
              <w:jc w:val="left"/>
              <w:rPr>
                <w:kern w:val="0"/>
                <w:sz w:val="24"/>
                <w:szCs w:val="24"/>
              </w:rPr>
            </w:pPr>
            <w:r>
              <w:rPr>
                <w:kern w:val="0"/>
                <w:sz w:val="24"/>
                <w:szCs w:val="24"/>
              </w:rPr>
              <w:t>Very rare:</w:t>
            </w:r>
          </w:p>
        </w:tc>
        <w:tc>
          <w:tcPr>
            <w:tcW w:w="7448" w:type="dxa"/>
            <w:shd w:val="clear" w:color="auto" w:fill="FFFFFF"/>
          </w:tcPr>
          <w:p>
            <w:pPr>
              <w:widowControl/>
              <w:jc w:val="left"/>
              <w:rPr>
                <w:kern w:val="0"/>
                <w:sz w:val="24"/>
                <w:szCs w:val="24"/>
              </w:rPr>
            </w:pPr>
            <w:r>
              <w:rPr>
                <w:kern w:val="0"/>
                <w:sz w:val="24"/>
                <w:szCs w:val="24"/>
              </w:rPr>
              <w:t>Interstitial nephritis.</w:t>
            </w:r>
          </w:p>
          <w:p>
            <w:pPr>
              <w:widowControl/>
              <w:jc w:val="left"/>
              <w:rPr>
                <w:kern w:val="0"/>
                <w:sz w:val="24"/>
                <w:szCs w:val="24"/>
              </w:rPr>
            </w:pPr>
            <w:r>
              <w:rPr>
                <w:kern w:val="0"/>
                <w:sz w:val="24"/>
                <w:szCs w:val="24"/>
              </w:rPr>
              <w:t>Crystalluria (see sections 4.4 and 4.9 Overdose)</w:t>
            </w:r>
          </w:p>
        </w:tc>
      </w:tr>
    </w:tbl>
    <w:p>
      <w:pPr>
        <w:widowControl/>
        <w:shd w:val="clear" w:color="auto" w:fill="FFFFFF"/>
        <w:jc w:val="left"/>
        <w:rPr>
          <w:kern w:val="0"/>
          <w:sz w:val="24"/>
          <w:szCs w:val="24"/>
        </w:rPr>
      </w:pPr>
      <w:r>
        <w:rPr>
          <w:kern w:val="0"/>
          <w:sz w:val="24"/>
          <w:szCs w:val="24"/>
        </w:rPr>
        <w:t>*The incidence of these AEs was derived from clinical studies involving a total of approximately 6,000 adult and paediatric patients taking amoxicillin.</w:t>
      </w:r>
    </w:p>
    <w:p>
      <w:pPr>
        <w:widowControl/>
        <w:shd w:val="clear" w:color="auto" w:fill="FFFFFF"/>
        <w:jc w:val="left"/>
        <w:rPr>
          <w:kern w:val="0"/>
          <w:sz w:val="24"/>
          <w:szCs w:val="24"/>
        </w:rPr>
      </w:pPr>
      <w:r>
        <w:rPr>
          <w:kern w:val="0"/>
          <w:sz w:val="24"/>
          <w:szCs w:val="24"/>
        </w:rPr>
        <w:t>Reporting of suspected adverse reactions</w:t>
      </w:r>
    </w:p>
    <w:p>
      <w:pPr>
        <w:widowControl/>
        <w:shd w:val="clear" w:color="auto" w:fill="FFFFFF"/>
        <w:jc w:val="left"/>
        <w:rPr>
          <w:kern w:val="0"/>
          <w:sz w:val="24"/>
          <w:szCs w:val="24"/>
        </w:rPr>
      </w:pPr>
      <w:r>
        <w:rPr>
          <w:kern w:val="0"/>
          <w:sz w:val="24"/>
          <w:szCs w:val="24"/>
        </w:rPr>
        <w:t>Reporting suspected adverse reactions after authorisation of the medicinal product is important. It allows continued monitoring of the benefit/risk balance of the medicinal product.</w:t>
      </w:r>
    </w:p>
    <w:p>
      <w:pPr>
        <w:widowControl/>
        <w:shd w:val="clear" w:color="auto" w:fill="FFFFFF"/>
        <w:jc w:val="left"/>
        <w:rPr>
          <w:kern w:val="0"/>
          <w:sz w:val="24"/>
          <w:szCs w:val="24"/>
        </w:rPr>
      </w:pPr>
      <w:r>
        <w:rPr>
          <w:kern w:val="0"/>
          <w:sz w:val="24"/>
          <w:szCs w:val="24"/>
        </w:rPr>
        <w:t>Healthcare professionals are asked to report any suspected adverse reactions via Yellow Card Scheme.</w:t>
      </w:r>
    </w:p>
    <w:p>
      <w:pPr>
        <w:widowControl/>
        <w:shd w:val="clear" w:color="auto" w:fill="FFFFFF"/>
        <w:jc w:val="left"/>
        <w:rPr>
          <w:sz w:val="24"/>
          <w:szCs w:val="24"/>
        </w:rPr>
      </w:pPr>
      <w:r>
        <w:rPr>
          <w:kern w:val="0"/>
          <w:sz w:val="24"/>
          <w:szCs w:val="24"/>
        </w:rPr>
        <w:t>Website: www.mhra.gov.uk/yellowcard.</w:t>
      </w:r>
    </w:p>
    <w:p>
      <w:pPr>
        <w:jc w:val="left"/>
        <w:rPr>
          <w:sz w:val="24"/>
          <w:szCs w:val="24"/>
        </w:rPr>
      </w:pPr>
      <w:r>
        <w:rPr>
          <w:sz w:val="24"/>
          <w:szCs w:val="24"/>
        </w:rPr>
        <w:t>4.9 Overdose</w:t>
      </w:r>
    </w:p>
    <w:p>
      <w:pPr>
        <w:pStyle w:val="4"/>
        <w:shd w:val="clear" w:color="auto" w:fill="FFFFFF"/>
        <w:spacing w:before="0" w:after="0"/>
        <w:rPr>
          <w:rFonts w:ascii="Times New Roman" w:hAnsi="Times New Roman" w:cs="Times New Roman"/>
        </w:rPr>
      </w:pPr>
      <w:r>
        <w:rPr>
          <w:rFonts w:ascii="Times New Roman" w:hAnsi="Times New Roman" w:cs="Times New Roman"/>
        </w:rPr>
        <w:t>Symptoms and signs of overdose:</w:t>
      </w:r>
    </w:p>
    <w:p>
      <w:pPr>
        <w:pStyle w:val="4"/>
        <w:shd w:val="clear" w:color="auto" w:fill="FFFFFF"/>
        <w:spacing w:before="0" w:after="0"/>
        <w:rPr>
          <w:rFonts w:ascii="Times New Roman" w:hAnsi="Times New Roman" w:cs="Times New Roman"/>
        </w:rPr>
      </w:pPr>
      <w:r>
        <w:rPr>
          <w:rFonts w:ascii="Times New Roman" w:hAnsi="Times New Roman" w:cs="Times New Roman"/>
        </w:rPr>
        <w:t>Gastrointestinal symptoms (such as nausea, vomiting and diarrhoea) and disturbance of the fluid and electrolyte balances may be evident. Amoxicillin crystalluria, in some cases leading to renal failure, has been observed. Convulsions may occur in patients with impaired renal function or in those receiving high doses (see sections 4.4 and 4.8).</w:t>
      </w:r>
    </w:p>
    <w:p>
      <w:pPr>
        <w:pStyle w:val="4"/>
        <w:shd w:val="clear" w:color="auto" w:fill="FFFFFF"/>
        <w:spacing w:before="0" w:after="0"/>
        <w:rPr>
          <w:rFonts w:ascii="Times New Roman" w:hAnsi="Times New Roman" w:cs="Times New Roman"/>
        </w:rPr>
      </w:pPr>
      <w:r>
        <w:rPr>
          <w:rFonts w:ascii="Times New Roman" w:hAnsi="Times New Roman" w:cs="Times New Roman"/>
        </w:rPr>
        <w:t>Treatment of intoxication:</w:t>
      </w:r>
    </w:p>
    <w:p>
      <w:pPr>
        <w:pStyle w:val="4"/>
        <w:shd w:val="clear" w:color="auto" w:fill="FFFFFF"/>
        <w:spacing w:before="0" w:after="0"/>
        <w:rPr>
          <w:rFonts w:ascii="Times New Roman" w:hAnsi="Times New Roman" w:cs="Times New Roman"/>
        </w:rPr>
      </w:pPr>
      <w:r>
        <w:rPr>
          <w:rFonts w:ascii="Times New Roman" w:hAnsi="Times New Roman" w:cs="Times New Roman"/>
        </w:rPr>
        <w:t>Gastrointestinal symptoms may be treated symptomatically, with attention to the water/electrolyte balance.</w:t>
      </w:r>
    </w:p>
    <w:p>
      <w:pPr>
        <w:pStyle w:val="4"/>
        <w:shd w:val="clear" w:color="auto" w:fill="FFFFFF"/>
        <w:spacing w:before="0" w:after="0"/>
        <w:rPr>
          <w:rFonts w:ascii="Times New Roman" w:hAnsi="Times New Roman" w:cs="Times New Roman"/>
        </w:rPr>
      </w:pPr>
      <w:r>
        <w:rPr>
          <w:rFonts w:ascii="Times New Roman" w:hAnsi="Times New Roman" w:cs="Times New Roman"/>
        </w:rPr>
        <w:t>Amoxicillin may be removed from the circulation by haemodialysis.</w:t>
      </w:r>
    </w:p>
    <w:p>
      <w:pPr>
        <w:jc w:val="left"/>
        <w:rPr>
          <w:sz w:val="24"/>
          <w:szCs w:val="24"/>
        </w:rPr>
      </w:pPr>
      <w:r>
        <w:rPr>
          <w:sz w:val="24"/>
          <w:szCs w:val="24"/>
        </w:rPr>
        <w:t xml:space="preserve"> 5. Pharmacological properties</w:t>
      </w:r>
    </w:p>
    <w:p>
      <w:pPr>
        <w:jc w:val="left"/>
        <w:rPr>
          <w:sz w:val="24"/>
          <w:szCs w:val="24"/>
        </w:rPr>
      </w:pPr>
      <w:r>
        <w:rPr>
          <w:sz w:val="24"/>
          <w:szCs w:val="24"/>
        </w:rPr>
        <w:t>5.1 Pharmacodynamic properties</w:t>
      </w:r>
    </w:p>
    <w:p>
      <w:pPr>
        <w:widowControl/>
        <w:shd w:val="clear" w:color="auto" w:fill="FFFFFF"/>
        <w:jc w:val="left"/>
        <w:rPr>
          <w:kern w:val="0"/>
          <w:sz w:val="24"/>
          <w:szCs w:val="24"/>
        </w:rPr>
      </w:pPr>
      <w:r>
        <w:rPr>
          <w:kern w:val="0"/>
          <w:sz w:val="24"/>
          <w:szCs w:val="24"/>
        </w:rPr>
        <w:t>Pharmacotherapeutic group: penicillins with extended spectrum; ATC code: J01C A04</w:t>
      </w:r>
    </w:p>
    <w:p>
      <w:pPr>
        <w:widowControl/>
        <w:shd w:val="clear" w:color="auto" w:fill="FFFFFF"/>
        <w:jc w:val="left"/>
        <w:rPr>
          <w:kern w:val="0"/>
          <w:sz w:val="24"/>
          <w:szCs w:val="24"/>
        </w:rPr>
      </w:pPr>
      <w:r>
        <w:rPr>
          <w:kern w:val="0"/>
          <w:sz w:val="24"/>
          <w:szCs w:val="24"/>
        </w:rPr>
        <w:t>Mechanism of action</w:t>
      </w:r>
    </w:p>
    <w:p>
      <w:pPr>
        <w:widowControl/>
        <w:shd w:val="clear" w:color="auto" w:fill="FFFFFF"/>
        <w:jc w:val="left"/>
        <w:rPr>
          <w:kern w:val="0"/>
          <w:sz w:val="24"/>
          <w:szCs w:val="24"/>
        </w:rPr>
      </w:pPr>
      <w:r>
        <w:rPr>
          <w:kern w:val="0"/>
          <w:sz w:val="24"/>
          <w:szCs w:val="24"/>
        </w:rPr>
        <w:t>Amoxicillin is a semisynthetic penicillin (beta-lactam antibiotic) that inhibits one or more enzymes (often referred to as penicillin-binding proteins, PBPs) in the biosynthetic pathway of bacterial peptidoglycan, which is an integral structural component of the bacterial cell wall. Inhibition of peptidoglycan synthesis leads to weakening of the cell wall, which is usually followed by cell lysis and death.</w:t>
      </w:r>
    </w:p>
    <w:p>
      <w:pPr>
        <w:widowControl/>
        <w:shd w:val="clear" w:color="auto" w:fill="FFFFFF"/>
        <w:jc w:val="left"/>
        <w:rPr>
          <w:kern w:val="0"/>
          <w:sz w:val="24"/>
          <w:szCs w:val="24"/>
        </w:rPr>
      </w:pPr>
      <w:r>
        <w:rPr>
          <w:kern w:val="0"/>
          <w:sz w:val="24"/>
          <w:szCs w:val="24"/>
        </w:rPr>
        <w:t>Amoxicillin is susceptible to degradation by beta-lactamases produced by resistant bacteria and therefore the spectrum of activity of amoxicillin alone does not include organisms which produce these enzymes.</w:t>
      </w:r>
    </w:p>
    <w:p>
      <w:pPr>
        <w:widowControl/>
        <w:shd w:val="clear" w:color="auto" w:fill="FFFFFF"/>
        <w:jc w:val="left"/>
        <w:rPr>
          <w:kern w:val="0"/>
          <w:sz w:val="24"/>
          <w:szCs w:val="24"/>
        </w:rPr>
      </w:pPr>
      <w:r>
        <w:rPr>
          <w:kern w:val="0"/>
          <w:sz w:val="24"/>
          <w:szCs w:val="24"/>
        </w:rPr>
        <w:t>Pharmacokinetic/pharmacodynamic relationship</w:t>
      </w:r>
    </w:p>
    <w:p>
      <w:pPr>
        <w:widowControl/>
        <w:shd w:val="clear" w:color="auto" w:fill="FFFFFF"/>
        <w:jc w:val="left"/>
        <w:rPr>
          <w:kern w:val="0"/>
          <w:sz w:val="24"/>
          <w:szCs w:val="24"/>
        </w:rPr>
      </w:pPr>
      <w:r>
        <w:rPr>
          <w:kern w:val="0"/>
          <w:sz w:val="24"/>
          <w:szCs w:val="24"/>
        </w:rPr>
        <w:t>The time above the minimum inhibitory concentration (T&gt;MIC) is considered to be the major determinant of efficacy for amoxicillin.</w:t>
      </w:r>
    </w:p>
    <w:p>
      <w:pPr>
        <w:widowControl/>
        <w:shd w:val="clear" w:color="auto" w:fill="FFFFFF"/>
        <w:jc w:val="left"/>
        <w:rPr>
          <w:kern w:val="0"/>
          <w:sz w:val="24"/>
          <w:szCs w:val="24"/>
        </w:rPr>
      </w:pPr>
      <w:r>
        <w:rPr>
          <w:kern w:val="0"/>
          <w:sz w:val="24"/>
          <w:szCs w:val="24"/>
        </w:rPr>
        <w:t>Mechanisms of resistance</w:t>
      </w:r>
    </w:p>
    <w:p>
      <w:pPr>
        <w:widowControl/>
        <w:shd w:val="clear" w:color="auto" w:fill="FFFFFF"/>
        <w:jc w:val="left"/>
        <w:rPr>
          <w:kern w:val="0"/>
          <w:sz w:val="24"/>
          <w:szCs w:val="24"/>
        </w:rPr>
      </w:pPr>
      <w:r>
        <w:rPr>
          <w:kern w:val="0"/>
          <w:sz w:val="24"/>
          <w:szCs w:val="24"/>
        </w:rPr>
        <w:t>The main mechanisms of resistance to amoxicillin are:</w:t>
      </w:r>
    </w:p>
    <w:p>
      <w:pPr>
        <w:widowControl/>
        <w:shd w:val="clear" w:color="auto" w:fill="FFFFFF"/>
        <w:jc w:val="left"/>
        <w:rPr>
          <w:kern w:val="0"/>
          <w:sz w:val="24"/>
          <w:szCs w:val="24"/>
        </w:rPr>
      </w:pPr>
      <w:r>
        <w:rPr>
          <w:kern w:val="0"/>
          <w:sz w:val="24"/>
          <w:szCs w:val="24"/>
        </w:rPr>
        <w:t>• Inactivation by bacterial beta-lactamases.</w:t>
      </w:r>
    </w:p>
    <w:p>
      <w:pPr>
        <w:widowControl/>
        <w:shd w:val="clear" w:color="auto" w:fill="FFFFFF"/>
        <w:jc w:val="left"/>
        <w:rPr>
          <w:kern w:val="0"/>
          <w:sz w:val="24"/>
          <w:szCs w:val="24"/>
        </w:rPr>
      </w:pPr>
      <w:r>
        <w:rPr>
          <w:kern w:val="0"/>
          <w:sz w:val="24"/>
          <w:szCs w:val="24"/>
        </w:rPr>
        <w:t>• Alteration of PBPs, which reduce the affinity of the antibacterial agent for the target.</w:t>
      </w:r>
    </w:p>
    <w:p>
      <w:pPr>
        <w:widowControl/>
        <w:shd w:val="clear" w:color="auto" w:fill="FFFFFF"/>
        <w:jc w:val="left"/>
        <w:rPr>
          <w:kern w:val="0"/>
          <w:sz w:val="24"/>
          <w:szCs w:val="24"/>
        </w:rPr>
      </w:pPr>
      <w:r>
        <w:rPr>
          <w:kern w:val="0"/>
          <w:sz w:val="24"/>
          <w:szCs w:val="24"/>
        </w:rPr>
        <w:t>Impermeability of bacteria or efflux pump mechanisms may cause or contribute to bacterial resistance, particularly in Gram-negative bacteria.</w:t>
      </w:r>
    </w:p>
    <w:p>
      <w:pPr>
        <w:widowControl/>
        <w:shd w:val="clear" w:color="auto" w:fill="FFFFFF"/>
        <w:jc w:val="left"/>
        <w:rPr>
          <w:kern w:val="0"/>
          <w:sz w:val="24"/>
          <w:szCs w:val="24"/>
        </w:rPr>
      </w:pPr>
      <w:r>
        <w:rPr>
          <w:kern w:val="0"/>
          <w:sz w:val="24"/>
          <w:szCs w:val="24"/>
        </w:rPr>
        <w:t>Breakpoints</w:t>
      </w:r>
    </w:p>
    <w:p>
      <w:pPr>
        <w:widowControl/>
        <w:shd w:val="clear" w:color="auto" w:fill="FFFFFF"/>
        <w:jc w:val="left"/>
        <w:rPr>
          <w:kern w:val="0"/>
          <w:sz w:val="24"/>
          <w:szCs w:val="24"/>
        </w:rPr>
      </w:pPr>
      <w:r>
        <w:rPr>
          <w:kern w:val="0"/>
          <w:sz w:val="24"/>
          <w:szCs w:val="24"/>
        </w:rPr>
        <w:t>MIC breakpoints for amoxicillin are those of the European Committee on Antimicrobial Susceptibility Testing (EUCAST) version 5.0.</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4145"/>
        <w:gridCol w:w="3110"/>
        <w:gridCol w:w="23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Organism</w:t>
            </w:r>
          </w:p>
        </w:tc>
        <w:tc>
          <w:tcPr>
            <w:tcW w:w="55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MIC breakpoint (mg/L)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 xml:space="preserve"> </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Susceptible ≤</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Resistant &gt;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Enterobacteriaceae</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8</w:t>
            </w:r>
            <w:r>
              <w:rPr>
                <w:kern w:val="0"/>
                <w:sz w:val="24"/>
                <w:szCs w:val="24"/>
                <w:vertAlign w:val="superscript"/>
              </w:rPr>
              <w:t>1</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 xml:space="preserve">Staphylococcus </w:t>
            </w:r>
            <w:r>
              <w:rPr>
                <w:kern w:val="0"/>
                <w:sz w:val="24"/>
                <w:szCs w:val="24"/>
              </w:rPr>
              <w:t>spp.</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2</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 xml:space="preserve">Enterococcus </w:t>
            </w:r>
            <w:r>
              <w:rPr>
                <w:kern w:val="0"/>
                <w:sz w:val="24"/>
                <w:szCs w:val="24"/>
              </w:rPr>
              <w:t>spp.</w:t>
            </w:r>
            <w:r>
              <w:rPr>
                <w:kern w:val="0"/>
                <w:sz w:val="24"/>
                <w:szCs w:val="24"/>
                <w:vertAlign w:val="superscript"/>
              </w:rPr>
              <w:t>3</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4</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Streptococcus groups A, B, C and G</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4</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Streptococcus pneumoniae</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5</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Viridans group steprococci</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0.5</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Haemophilus influenzae</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2</w:t>
            </w:r>
            <w:r>
              <w:rPr>
                <w:kern w:val="0"/>
                <w:sz w:val="24"/>
                <w:szCs w:val="24"/>
                <w:vertAlign w:val="superscript"/>
              </w:rPr>
              <w:t>6</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2</w:t>
            </w:r>
            <w:r>
              <w:rPr>
                <w:kern w:val="0"/>
                <w:sz w:val="24"/>
                <w:szCs w:val="24"/>
                <w:vertAlign w:val="superscript"/>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Moraxella catarrhalis</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7</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Note</w:t>
            </w:r>
            <w:r>
              <w:rPr>
                <w:kern w:val="0"/>
                <w:sz w:val="24"/>
                <w:szCs w:val="24"/>
                <w:vertAlign w:val="superscript"/>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Neisseria meningitidis</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0.125</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 xml:space="preserve">Gram positive anaerobes except </w:t>
            </w:r>
            <w:r>
              <w:rPr>
                <w:iCs/>
                <w:kern w:val="0"/>
                <w:sz w:val="24"/>
                <w:szCs w:val="24"/>
              </w:rPr>
              <w:t>Clostridium difficile</w:t>
            </w:r>
            <w:r>
              <w:rPr>
                <w:kern w:val="0"/>
                <w:sz w:val="24"/>
                <w:szCs w:val="24"/>
                <w:vertAlign w:val="superscript"/>
              </w:rPr>
              <w:t>8</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4</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trHeight w:val="90" w:hRule="atLeast"/>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Gram negative anaerobes</w:t>
            </w:r>
            <w:r>
              <w:rPr>
                <w:kern w:val="0"/>
                <w:sz w:val="24"/>
                <w:szCs w:val="24"/>
                <w:vertAlign w:val="superscript"/>
              </w:rPr>
              <w:t>8</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0.5</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Helicobacter pylori</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0.125</w:t>
            </w:r>
            <w:r>
              <w:rPr>
                <w:kern w:val="0"/>
                <w:sz w:val="24"/>
                <w:szCs w:val="24"/>
                <w:vertAlign w:val="superscript"/>
              </w:rPr>
              <w:t>9</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0.125</w:t>
            </w:r>
            <w:r>
              <w:rPr>
                <w:kern w:val="0"/>
                <w:sz w:val="24"/>
                <w:szCs w:val="24"/>
                <w:vertAlign w:val="superscript"/>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iCs/>
                <w:kern w:val="0"/>
                <w:sz w:val="24"/>
                <w:szCs w:val="24"/>
              </w:rPr>
              <w:t>Pasteurella multocida</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41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Non- species related breakpoints</w:t>
            </w:r>
            <w:r>
              <w:rPr>
                <w:kern w:val="0"/>
                <w:sz w:val="24"/>
                <w:szCs w:val="24"/>
                <w:vertAlign w:val="superscript"/>
              </w:rPr>
              <w:t>10</w:t>
            </w:r>
          </w:p>
        </w:tc>
        <w:tc>
          <w:tcPr>
            <w:tcW w:w="31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2</w:t>
            </w:r>
          </w:p>
        </w:tc>
        <w:tc>
          <w:tcPr>
            <w:tcW w:w="23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965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kern w:val="0"/>
                <w:sz w:val="24"/>
                <w:szCs w:val="24"/>
              </w:rPr>
            </w:pPr>
            <w:r>
              <w:rPr>
                <w:kern w:val="0"/>
                <w:sz w:val="24"/>
                <w:szCs w:val="24"/>
                <w:vertAlign w:val="superscript"/>
              </w:rPr>
              <w:t>1</w:t>
            </w:r>
            <w:r>
              <w:rPr>
                <w:kern w:val="0"/>
                <w:sz w:val="24"/>
                <w:szCs w:val="24"/>
              </w:rPr>
              <w:t xml:space="preserve">Wild type Enterobacteriaceae are categorised as susceptible to aminopenicillins. Some countries prefer to categorise wild type isolates of </w:t>
            </w:r>
            <w:r>
              <w:rPr>
                <w:iCs/>
                <w:kern w:val="0"/>
                <w:sz w:val="24"/>
                <w:szCs w:val="24"/>
              </w:rPr>
              <w:t xml:space="preserve">E. coli </w:t>
            </w:r>
            <w:r>
              <w:rPr>
                <w:kern w:val="0"/>
                <w:sz w:val="24"/>
                <w:szCs w:val="24"/>
              </w:rPr>
              <w:t xml:space="preserve">and </w:t>
            </w:r>
            <w:r>
              <w:rPr>
                <w:iCs/>
                <w:kern w:val="0"/>
                <w:sz w:val="24"/>
                <w:szCs w:val="24"/>
              </w:rPr>
              <w:t xml:space="preserve">P. mirabilis </w:t>
            </w:r>
            <w:r>
              <w:rPr>
                <w:kern w:val="0"/>
                <w:sz w:val="24"/>
                <w:szCs w:val="24"/>
              </w:rPr>
              <w:t>as intermediate. When this is the case, use the MIC breakpoint S ≤ 0.5 mg/L</w:t>
            </w:r>
          </w:p>
          <w:p>
            <w:pPr>
              <w:widowControl/>
              <w:jc w:val="left"/>
              <w:rPr>
                <w:kern w:val="0"/>
                <w:sz w:val="24"/>
                <w:szCs w:val="24"/>
              </w:rPr>
            </w:pPr>
            <w:r>
              <w:rPr>
                <w:kern w:val="0"/>
                <w:sz w:val="24"/>
                <w:szCs w:val="24"/>
                <w:vertAlign w:val="superscript"/>
              </w:rPr>
              <w:t>2</w:t>
            </w:r>
            <w:r>
              <w:rPr>
                <w:kern w:val="0"/>
                <w:sz w:val="24"/>
                <w:szCs w:val="24"/>
              </w:rPr>
              <w:t>Most staphylococci are penicillinase producers, which are resistant to amoxicillin. Methicillin resistant isolates are, with few exceptions, resistant to all beta-lactam agents.</w:t>
            </w:r>
          </w:p>
          <w:p>
            <w:pPr>
              <w:widowControl/>
              <w:jc w:val="left"/>
              <w:rPr>
                <w:kern w:val="0"/>
                <w:sz w:val="24"/>
                <w:szCs w:val="24"/>
              </w:rPr>
            </w:pPr>
            <w:r>
              <w:rPr>
                <w:kern w:val="0"/>
                <w:sz w:val="24"/>
                <w:szCs w:val="24"/>
                <w:vertAlign w:val="superscript"/>
              </w:rPr>
              <w:t>3</w:t>
            </w:r>
            <w:r>
              <w:rPr>
                <w:kern w:val="0"/>
                <w:sz w:val="24"/>
                <w:szCs w:val="24"/>
              </w:rPr>
              <w:t>Susceptibility to amoxicillin can be inferred from ampicillin</w:t>
            </w:r>
          </w:p>
          <w:p>
            <w:pPr>
              <w:widowControl/>
              <w:jc w:val="left"/>
              <w:rPr>
                <w:kern w:val="0"/>
                <w:sz w:val="24"/>
                <w:szCs w:val="24"/>
              </w:rPr>
            </w:pPr>
            <w:r>
              <w:rPr>
                <w:kern w:val="0"/>
                <w:sz w:val="24"/>
                <w:szCs w:val="24"/>
                <w:vertAlign w:val="superscript"/>
              </w:rPr>
              <w:t>4</w:t>
            </w:r>
            <w:r>
              <w:rPr>
                <w:kern w:val="0"/>
                <w:sz w:val="24"/>
                <w:szCs w:val="24"/>
              </w:rPr>
              <w:t>The susceptibility of streptococcus groups A, B, C and G to penicillins is inferred from the benzylpenicillin susceptibility.</w:t>
            </w:r>
          </w:p>
          <w:p>
            <w:pPr>
              <w:widowControl/>
              <w:jc w:val="left"/>
              <w:rPr>
                <w:kern w:val="0"/>
                <w:sz w:val="24"/>
                <w:szCs w:val="24"/>
              </w:rPr>
            </w:pPr>
            <w:r>
              <w:rPr>
                <w:kern w:val="0"/>
                <w:sz w:val="24"/>
                <w:szCs w:val="24"/>
                <w:vertAlign w:val="superscript"/>
              </w:rPr>
              <w:t>5</w:t>
            </w:r>
            <w:r>
              <w:rPr>
                <w:kern w:val="0"/>
                <w:sz w:val="24"/>
                <w:szCs w:val="24"/>
              </w:rPr>
              <w:t>Breakpoints relate only to non-meningitis isolates. For isolates categorised as intermediate to ampicillin avoid oral treatment with amoxicillin. Susceptibility inferred from the MIC of ampicillin.</w:t>
            </w:r>
          </w:p>
          <w:p>
            <w:pPr>
              <w:widowControl/>
              <w:jc w:val="left"/>
              <w:rPr>
                <w:kern w:val="0"/>
                <w:sz w:val="24"/>
                <w:szCs w:val="24"/>
              </w:rPr>
            </w:pPr>
            <w:r>
              <w:rPr>
                <w:kern w:val="0"/>
                <w:sz w:val="24"/>
                <w:szCs w:val="24"/>
                <w:vertAlign w:val="superscript"/>
              </w:rPr>
              <w:t>6</w:t>
            </w:r>
            <w:r>
              <w:rPr>
                <w:kern w:val="0"/>
                <w:sz w:val="24"/>
                <w:szCs w:val="24"/>
              </w:rPr>
              <w:t>Breakpoints are based on intravenous administration. Beta-lactamase positive isolates should be reported resistant.</w:t>
            </w:r>
          </w:p>
          <w:p>
            <w:pPr>
              <w:widowControl/>
              <w:jc w:val="left"/>
              <w:rPr>
                <w:kern w:val="0"/>
                <w:sz w:val="24"/>
                <w:szCs w:val="24"/>
              </w:rPr>
            </w:pPr>
            <w:r>
              <w:rPr>
                <w:kern w:val="0"/>
                <w:sz w:val="24"/>
                <w:szCs w:val="24"/>
                <w:vertAlign w:val="superscript"/>
              </w:rPr>
              <w:t>7</w:t>
            </w:r>
            <w:r>
              <w:rPr>
                <w:kern w:val="0"/>
                <w:sz w:val="24"/>
                <w:szCs w:val="24"/>
              </w:rPr>
              <w:t>Beta lactamase producers should be reported resistant</w:t>
            </w:r>
          </w:p>
          <w:p>
            <w:pPr>
              <w:widowControl/>
              <w:jc w:val="left"/>
              <w:rPr>
                <w:kern w:val="0"/>
                <w:sz w:val="24"/>
                <w:szCs w:val="24"/>
              </w:rPr>
            </w:pPr>
            <w:r>
              <w:rPr>
                <w:kern w:val="0"/>
                <w:sz w:val="24"/>
                <w:szCs w:val="24"/>
                <w:vertAlign w:val="superscript"/>
              </w:rPr>
              <w:t>8</w:t>
            </w:r>
            <w:r>
              <w:rPr>
                <w:kern w:val="0"/>
                <w:sz w:val="24"/>
                <w:szCs w:val="24"/>
              </w:rPr>
              <w:t>Susceptibility to amoxicillin can be inferred from benzylpenicillin.</w:t>
            </w:r>
          </w:p>
          <w:p>
            <w:pPr>
              <w:widowControl/>
              <w:jc w:val="left"/>
              <w:rPr>
                <w:kern w:val="0"/>
                <w:sz w:val="24"/>
                <w:szCs w:val="24"/>
              </w:rPr>
            </w:pPr>
            <w:r>
              <w:rPr>
                <w:kern w:val="0"/>
                <w:sz w:val="24"/>
                <w:szCs w:val="24"/>
                <w:vertAlign w:val="superscript"/>
              </w:rPr>
              <w:t>9</w:t>
            </w:r>
            <w:r>
              <w:rPr>
                <w:kern w:val="0"/>
                <w:sz w:val="24"/>
                <w:szCs w:val="24"/>
              </w:rPr>
              <w:t>The breakpoints are based on epidemiological cut-off values (ECOFFs), which distinguish wild-type isolates from those with reduced susceptibility.</w:t>
            </w:r>
          </w:p>
          <w:p>
            <w:pPr>
              <w:widowControl/>
              <w:jc w:val="left"/>
              <w:rPr>
                <w:kern w:val="0"/>
                <w:sz w:val="24"/>
                <w:szCs w:val="24"/>
              </w:rPr>
            </w:pPr>
            <w:r>
              <w:rPr>
                <w:kern w:val="0"/>
                <w:sz w:val="24"/>
                <w:szCs w:val="24"/>
                <w:vertAlign w:val="superscript"/>
              </w:rPr>
              <w:t>10</w:t>
            </w:r>
            <w:r>
              <w:rPr>
                <w:kern w:val="0"/>
                <w:sz w:val="24"/>
                <w:szCs w:val="24"/>
              </w:rPr>
              <w:t>The non-species related breakpoints are based on doses of at least 0.5 g x 3or 4 doses daily (1.5 to 2 g/day).</w:t>
            </w:r>
          </w:p>
        </w:tc>
      </w:tr>
    </w:tbl>
    <w:p>
      <w:pPr>
        <w:widowControl/>
        <w:shd w:val="clear" w:color="auto" w:fill="FFFFFF"/>
        <w:jc w:val="left"/>
        <w:rPr>
          <w:kern w:val="0"/>
          <w:sz w:val="24"/>
          <w:szCs w:val="24"/>
        </w:rPr>
      </w:pPr>
      <w:r>
        <w:rPr>
          <w:kern w:val="0"/>
          <w:sz w:val="24"/>
          <w:szCs w:val="24"/>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95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iCs/>
                <w:kern w:val="0"/>
                <w:sz w:val="24"/>
                <w:szCs w:val="24"/>
              </w:rPr>
              <w:t>In vitro</w:t>
            </w:r>
            <w:r>
              <w:rPr>
                <w:kern w:val="0"/>
                <w:sz w:val="24"/>
                <w:szCs w:val="24"/>
              </w:rPr>
              <w:t xml:space="preserve"> susceptibility of micro-organisms to Amoxicillin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Commonly Susceptible Species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Gram-positive aerobes:</w:t>
            </w:r>
          </w:p>
          <w:p>
            <w:pPr>
              <w:widowControl/>
              <w:jc w:val="left"/>
              <w:rPr>
                <w:kern w:val="0"/>
                <w:sz w:val="24"/>
                <w:szCs w:val="24"/>
              </w:rPr>
            </w:pPr>
            <w:r>
              <w:rPr>
                <w:iCs/>
                <w:kern w:val="0"/>
                <w:sz w:val="24"/>
                <w:szCs w:val="24"/>
              </w:rPr>
              <w:t>Enterococcus faecalis</w:t>
            </w:r>
          </w:p>
          <w:p>
            <w:pPr>
              <w:widowControl/>
              <w:jc w:val="left"/>
              <w:rPr>
                <w:kern w:val="0"/>
                <w:sz w:val="24"/>
                <w:szCs w:val="24"/>
              </w:rPr>
            </w:pPr>
            <w:r>
              <w:rPr>
                <w:kern w:val="0"/>
                <w:sz w:val="24"/>
                <w:szCs w:val="24"/>
              </w:rPr>
              <w:t>Beta-hemolytic streptococci (Groups A, B, C and G)</w:t>
            </w:r>
          </w:p>
          <w:p>
            <w:pPr>
              <w:widowControl/>
              <w:jc w:val="left"/>
              <w:rPr>
                <w:kern w:val="0"/>
                <w:sz w:val="24"/>
                <w:szCs w:val="24"/>
              </w:rPr>
            </w:pPr>
            <w:r>
              <w:rPr>
                <w:iCs/>
                <w:kern w:val="0"/>
                <w:sz w:val="24"/>
                <w:szCs w:val="24"/>
              </w:rPr>
              <w:t>Listeria monocytogenes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Species for which acquired resistance may be a problem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Gram-negative aerobes:</w:t>
            </w:r>
          </w:p>
          <w:p>
            <w:pPr>
              <w:widowControl/>
              <w:jc w:val="left"/>
              <w:rPr>
                <w:kern w:val="0"/>
                <w:sz w:val="24"/>
                <w:szCs w:val="24"/>
              </w:rPr>
            </w:pPr>
            <w:r>
              <w:rPr>
                <w:iCs/>
                <w:kern w:val="0"/>
                <w:sz w:val="24"/>
                <w:szCs w:val="24"/>
              </w:rPr>
              <w:t>Escherichia coli</w:t>
            </w:r>
          </w:p>
          <w:p>
            <w:pPr>
              <w:widowControl/>
              <w:jc w:val="left"/>
              <w:rPr>
                <w:kern w:val="0"/>
                <w:sz w:val="24"/>
                <w:szCs w:val="24"/>
              </w:rPr>
            </w:pPr>
            <w:r>
              <w:rPr>
                <w:iCs/>
                <w:kern w:val="0"/>
                <w:sz w:val="24"/>
                <w:szCs w:val="24"/>
              </w:rPr>
              <w:t>Haemophilus influenzae</w:t>
            </w:r>
          </w:p>
          <w:p>
            <w:pPr>
              <w:widowControl/>
              <w:jc w:val="left"/>
              <w:rPr>
                <w:kern w:val="0"/>
                <w:sz w:val="24"/>
                <w:szCs w:val="24"/>
                <w:lang w:val="es-ES"/>
              </w:rPr>
            </w:pPr>
            <w:r>
              <w:rPr>
                <w:iCs/>
                <w:kern w:val="0"/>
                <w:sz w:val="24"/>
                <w:szCs w:val="24"/>
                <w:lang w:val="es-ES"/>
              </w:rPr>
              <w:t>Helicobacter pylori</w:t>
            </w:r>
          </w:p>
          <w:p>
            <w:pPr>
              <w:widowControl/>
              <w:jc w:val="left"/>
              <w:rPr>
                <w:kern w:val="0"/>
                <w:sz w:val="24"/>
                <w:szCs w:val="24"/>
                <w:lang w:val="es-ES"/>
              </w:rPr>
            </w:pPr>
            <w:r>
              <w:rPr>
                <w:iCs/>
                <w:kern w:val="0"/>
                <w:sz w:val="24"/>
                <w:szCs w:val="24"/>
                <w:lang w:val="es-ES"/>
              </w:rPr>
              <w:t>Proteus mirabilis</w:t>
            </w:r>
          </w:p>
          <w:p>
            <w:pPr>
              <w:widowControl/>
              <w:jc w:val="left"/>
              <w:rPr>
                <w:kern w:val="0"/>
                <w:sz w:val="24"/>
                <w:szCs w:val="24"/>
                <w:lang w:val="es-ES"/>
              </w:rPr>
            </w:pPr>
            <w:r>
              <w:rPr>
                <w:iCs/>
                <w:kern w:val="0"/>
                <w:sz w:val="24"/>
                <w:szCs w:val="24"/>
                <w:lang w:val="es-ES"/>
              </w:rPr>
              <w:t xml:space="preserve">Salmonella </w:t>
            </w:r>
            <w:r>
              <w:rPr>
                <w:kern w:val="0"/>
                <w:sz w:val="24"/>
                <w:szCs w:val="24"/>
                <w:lang w:val="es-ES"/>
              </w:rPr>
              <w:t>typhi</w:t>
            </w:r>
          </w:p>
          <w:p>
            <w:pPr>
              <w:widowControl/>
              <w:jc w:val="left"/>
              <w:rPr>
                <w:kern w:val="0"/>
                <w:sz w:val="24"/>
                <w:szCs w:val="24"/>
              </w:rPr>
            </w:pPr>
            <w:r>
              <w:rPr>
                <w:iCs/>
                <w:kern w:val="0"/>
                <w:sz w:val="24"/>
                <w:szCs w:val="24"/>
              </w:rPr>
              <w:t xml:space="preserve">Salmonella </w:t>
            </w:r>
            <w:r>
              <w:rPr>
                <w:kern w:val="0"/>
                <w:sz w:val="24"/>
                <w:szCs w:val="24"/>
              </w:rPr>
              <w:t>paratyphi</w:t>
            </w:r>
          </w:p>
          <w:p>
            <w:pPr>
              <w:widowControl/>
              <w:jc w:val="left"/>
              <w:rPr>
                <w:kern w:val="0"/>
                <w:sz w:val="24"/>
                <w:szCs w:val="24"/>
              </w:rPr>
            </w:pPr>
            <w:r>
              <w:rPr>
                <w:iCs/>
                <w:kern w:val="0"/>
                <w:sz w:val="24"/>
                <w:szCs w:val="24"/>
              </w:rPr>
              <w:t>Pasteurella multocida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Gram-positive aerobes:</w:t>
            </w:r>
          </w:p>
          <w:p>
            <w:pPr>
              <w:widowControl/>
              <w:jc w:val="left"/>
              <w:rPr>
                <w:kern w:val="0"/>
                <w:sz w:val="24"/>
                <w:szCs w:val="24"/>
              </w:rPr>
            </w:pPr>
            <w:r>
              <w:rPr>
                <w:kern w:val="0"/>
                <w:sz w:val="24"/>
                <w:szCs w:val="24"/>
              </w:rPr>
              <w:t>Coagulase negative staphylococcus</w:t>
            </w:r>
          </w:p>
          <w:p>
            <w:pPr>
              <w:widowControl/>
              <w:jc w:val="left"/>
              <w:rPr>
                <w:kern w:val="0"/>
                <w:sz w:val="24"/>
                <w:szCs w:val="24"/>
              </w:rPr>
            </w:pPr>
            <w:r>
              <w:rPr>
                <w:iCs/>
                <w:kern w:val="0"/>
                <w:sz w:val="24"/>
                <w:szCs w:val="24"/>
              </w:rPr>
              <w:t>Staphylococcus aureus</w:t>
            </w:r>
            <w:r>
              <w:rPr>
                <w:kern w:val="0"/>
                <w:sz w:val="24"/>
                <w:szCs w:val="24"/>
                <w:vertAlign w:val="superscript"/>
              </w:rPr>
              <w:t>£</w:t>
            </w:r>
          </w:p>
          <w:p>
            <w:pPr>
              <w:widowControl/>
              <w:jc w:val="left"/>
              <w:rPr>
                <w:kern w:val="0"/>
                <w:sz w:val="24"/>
                <w:szCs w:val="24"/>
              </w:rPr>
            </w:pPr>
            <w:r>
              <w:rPr>
                <w:iCs/>
                <w:kern w:val="0"/>
                <w:sz w:val="24"/>
                <w:szCs w:val="24"/>
              </w:rPr>
              <w:t>Streptococcus pneumoniae</w:t>
            </w:r>
          </w:p>
          <w:p>
            <w:pPr>
              <w:widowControl/>
              <w:jc w:val="left"/>
              <w:rPr>
                <w:kern w:val="0"/>
                <w:sz w:val="24"/>
                <w:szCs w:val="24"/>
              </w:rPr>
            </w:pPr>
            <w:r>
              <w:rPr>
                <w:kern w:val="0"/>
                <w:sz w:val="24"/>
                <w:szCs w:val="24"/>
              </w:rPr>
              <w:t>Viridans group streptococcus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Gram-positive anaerobes:</w:t>
            </w:r>
          </w:p>
          <w:p>
            <w:pPr>
              <w:widowControl/>
              <w:jc w:val="left"/>
              <w:rPr>
                <w:kern w:val="0"/>
                <w:sz w:val="24"/>
                <w:szCs w:val="24"/>
              </w:rPr>
            </w:pPr>
            <w:r>
              <w:rPr>
                <w:iCs/>
                <w:kern w:val="0"/>
                <w:sz w:val="24"/>
                <w:szCs w:val="24"/>
              </w:rPr>
              <w:t xml:space="preserve">Clostridium </w:t>
            </w:r>
            <w:r>
              <w:rPr>
                <w:kern w:val="0"/>
                <w:sz w:val="24"/>
                <w:szCs w:val="24"/>
              </w:rPr>
              <w:t>spp.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Gram-negative anaerobes:</w:t>
            </w:r>
          </w:p>
          <w:p>
            <w:pPr>
              <w:widowControl/>
              <w:jc w:val="left"/>
              <w:rPr>
                <w:kern w:val="0"/>
                <w:sz w:val="24"/>
                <w:szCs w:val="24"/>
              </w:rPr>
            </w:pPr>
            <w:r>
              <w:rPr>
                <w:iCs/>
                <w:kern w:val="0"/>
                <w:sz w:val="24"/>
                <w:szCs w:val="24"/>
              </w:rPr>
              <w:t xml:space="preserve">Fusobacterium </w:t>
            </w:r>
            <w:r>
              <w:rPr>
                <w:kern w:val="0"/>
                <w:sz w:val="24"/>
                <w:szCs w:val="24"/>
              </w:rPr>
              <w:t>spp.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Other:</w:t>
            </w:r>
          </w:p>
          <w:p>
            <w:pPr>
              <w:widowControl/>
              <w:jc w:val="left"/>
              <w:rPr>
                <w:kern w:val="0"/>
                <w:sz w:val="24"/>
                <w:szCs w:val="24"/>
              </w:rPr>
            </w:pPr>
            <w:r>
              <w:rPr>
                <w:iCs/>
                <w:kern w:val="0"/>
                <w:sz w:val="24"/>
                <w:szCs w:val="24"/>
              </w:rPr>
              <w:t>Borrelia burgdorferi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Inherently resistant organisms</w:t>
            </w:r>
            <w:r>
              <w:rPr>
                <w:kern w:val="0"/>
                <w:sz w:val="24"/>
                <w:szCs w:val="24"/>
                <w:vertAlign w:val="superscript"/>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Gram-positive aerobes:</w:t>
            </w:r>
          </w:p>
          <w:p>
            <w:pPr>
              <w:widowControl/>
              <w:jc w:val="left"/>
              <w:rPr>
                <w:kern w:val="0"/>
                <w:sz w:val="24"/>
                <w:szCs w:val="24"/>
              </w:rPr>
            </w:pPr>
            <w:r>
              <w:rPr>
                <w:iCs/>
                <w:kern w:val="0"/>
                <w:sz w:val="24"/>
                <w:szCs w:val="24"/>
              </w:rPr>
              <w:t>Enterococcus faecium</w:t>
            </w:r>
            <w:r>
              <w:rPr>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Gram-negative aerobes:</w:t>
            </w:r>
          </w:p>
          <w:p>
            <w:pPr>
              <w:widowControl/>
              <w:jc w:val="left"/>
              <w:rPr>
                <w:kern w:val="0"/>
                <w:sz w:val="24"/>
                <w:szCs w:val="24"/>
              </w:rPr>
            </w:pPr>
            <w:r>
              <w:rPr>
                <w:iCs/>
                <w:kern w:val="0"/>
                <w:sz w:val="24"/>
                <w:szCs w:val="24"/>
              </w:rPr>
              <w:t xml:space="preserve">Acinetobacter </w:t>
            </w:r>
            <w:r>
              <w:rPr>
                <w:kern w:val="0"/>
                <w:sz w:val="24"/>
                <w:szCs w:val="24"/>
              </w:rPr>
              <w:t>spp.</w:t>
            </w:r>
          </w:p>
          <w:p>
            <w:pPr>
              <w:widowControl/>
              <w:jc w:val="left"/>
              <w:rPr>
                <w:kern w:val="0"/>
                <w:sz w:val="24"/>
                <w:szCs w:val="24"/>
                <w:lang w:val="de-DE"/>
              </w:rPr>
            </w:pPr>
            <w:r>
              <w:rPr>
                <w:iCs/>
                <w:kern w:val="0"/>
                <w:sz w:val="24"/>
                <w:szCs w:val="24"/>
                <w:lang w:val="de-DE"/>
              </w:rPr>
              <w:t xml:space="preserve">Enterobacter </w:t>
            </w:r>
            <w:r>
              <w:rPr>
                <w:kern w:val="0"/>
                <w:sz w:val="24"/>
                <w:szCs w:val="24"/>
                <w:lang w:val="de-DE"/>
              </w:rPr>
              <w:t>spp.</w:t>
            </w:r>
          </w:p>
          <w:p>
            <w:pPr>
              <w:widowControl/>
              <w:jc w:val="left"/>
              <w:rPr>
                <w:kern w:val="0"/>
                <w:sz w:val="24"/>
                <w:szCs w:val="24"/>
                <w:lang w:val="de-DE"/>
              </w:rPr>
            </w:pPr>
            <w:r>
              <w:rPr>
                <w:iCs/>
                <w:kern w:val="0"/>
                <w:sz w:val="24"/>
                <w:szCs w:val="24"/>
                <w:lang w:val="de-DE"/>
              </w:rPr>
              <w:t xml:space="preserve">Klebsiella </w:t>
            </w:r>
            <w:r>
              <w:rPr>
                <w:kern w:val="0"/>
                <w:sz w:val="24"/>
                <w:szCs w:val="24"/>
                <w:lang w:val="de-DE"/>
              </w:rPr>
              <w:t>spp.</w:t>
            </w:r>
          </w:p>
          <w:p>
            <w:pPr>
              <w:widowControl/>
              <w:jc w:val="left"/>
              <w:rPr>
                <w:kern w:val="0"/>
                <w:sz w:val="24"/>
                <w:szCs w:val="24"/>
                <w:lang w:val="de-DE"/>
              </w:rPr>
            </w:pPr>
            <w:r>
              <w:rPr>
                <w:iCs/>
                <w:kern w:val="0"/>
                <w:sz w:val="24"/>
                <w:szCs w:val="24"/>
                <w:lang w:val="de-DE"/>
              </w:rPr>
              <w:t xml:space="preserve">Pseudomonas </w:t>
            </w:r>
            <w:r>
              <w:rPr>
                <w:kern w:val="0"/>
                <w:sz w:val="24"/>
                <w:szCs w:val="24"/>
                <w:lang w:val="de-DE"/>
              </w:rPr>
              <w:t>spp.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Gram-negative anaerobes:</w:t>
            </w:r>
          </w:p>
          <w:p>
            <w:pPr>
              <w:widowControl/>
              <w:jc w:val="left"/>
              <w:rPr>
                <w:kern w:val="0"/>
                <w:sz w:val="24"/>
                <w:szCs w:val="24"/>
              </w:rPr>
            </w:pPr>
            <w:r>
              <w:rPr>
                <w:iCs/>
                <w:kern w:val="0"/>
                <w:sz w:val="24"/>
                <w:szCs w:val="24"/>
              </w:rPr>
              <w:t xml:space="preserve">Bacteroides </w:t>
            </w:r>
            <w:r>
              <w:rPr>
                <w:kern w:val="0"/>
                <w:sz w:val="24"/>
                <w:szCs w:val="24"/>
              </w:rPr>
              <w:t xml:space="preserve">spp. (many strains of </w:t>
            </w:r>
            <w:r>
              <w:rPr>
                <w:iCs/>
                <w:kern w:val="0"/>
                <w:sz w:val="24"/>
                <w:szCs w:val="24"/>
              </w:rPr>
              <w:t xml:space="preserve">Bacteroides fragilis </w:t>
            </w:r>
            <w:r>
              <w:rPr>
                <w:kern w:val="0"/>
                <w:sz w:val="24"/>
                <w:szCs w:val="24"/>
              </w:rPr>
              <w:t>are resistant).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Others:</w:t>
            </w:r>
          </w:p>
          <w:p>
            <w:pPr>
              <w:widowControl/>
              <w:jc w:val="left"/>
              <w:rPr>
                <w:kern w:val="0"/>
                <w:sz w:val="24"/>
                <w:szCs w:val="24"/>
              </w:rPr>
            </w:pPr>
            <w:r>
              <w:rPr>
                <w:iCs/>
                <w:kern w:val="0"/>
                <w:sz w:val="24"/>
                <w:szCs w:val="24"/>
              </w:rPr>
              <w:t xml:space="preserve">Chlamydia </w:t>
            </w:r>
            <w:r>
              <w:rPr>
                <w:kern w:val="0"/>
                <w:sz w:val="24"/>
                <w:szCs w:val="24"/>
              </w:rPr>
              <w:t>spp.</w:t>
            </w:r>
          </w:p>
          <w:p>
            <w:pPr>
              <w:widowControl/>
              <w:jc w:val="left"/>
              <w:rPr>
                <w:kern w:val="0"/>
                <w:sz w:val="24"/>
                <w:szCs w:val="24"/>
              </w:rPr>
            </w:pPr>
            <w:r>
              <w:rPr>
                <w:iCs/>
                <w:kern w:val="0"/>
                <w:sz w:val="24"/>
                <w:szCs w:val="24"/>
              </w:rPr>
              <w:t xml:space="preserve">Mycoplasma </w:t>
            </w:r>
            <w:r>
              <w:rPr>
                <w:kern w:val="0"/>
                <w:sz w:val="24"/>
                <w:szCs w:val="24"/>
              </w:rPr>
              <w:t>spp.</w:t>
            </w:r>
          </w:p>
          <w:p>
            <w:pPr>
              <w:widowControl/>
              <w:jc w:val="left"/>
              <w:rPr>
                <w:kern w:val="0"/>
                <w:sz w:val="24"/>
                <w:szCs w:val="24"/>
              </w:rPr>
            </w:pPr>
            <w:r>
              <w:rPr>
                <w:iCs/>
                <w:kern w:val="0"/>
                <w:sz w:val="24"/>
                <w:szCs w:val="24"/>
              </w:rPr>
              <w:t xml:space="preserve">Legionella </w:t>
            </w:r>
            <w:r>
              <w:rPr>
                <w:kern w:val="0"/>
                <w:sz w:val="24"/>
                <w:szCs w:val="24"/>
              </w:rPr>
              <w:t>spp.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9573"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vertAlign w:val="superscript"/>
              </w:rPr>
              <w:t>†</w:t>
            </w:r>
            <w:r>
              <w:rPr>
                <w:kern w:val="0"/>
                <w:sz w:val="24"/>
                <w:szCs w:val="24"/>
              </w:rPr>
              <w:t xml:space="preserve"> Natural intermediate susceptibility in the absence of acquired mechanism of resistance.</w:t>
            </w:r>
          </w:p>
          <w:p>
            <w:pPr>
              <w:widowControl/>
              <w:jc w:val="left"/>
              <w:rPr>
                <w:kern w:val="0"/>
                <w:sz w:val="24"/>
                <w:szCs w:val="24"/>
              </w:rPr>
            </w:pPr>
            <w:r>
              <w:rPr>
                <w:kern w:val="0"/>
                <w:sz w:val="24"/>
                <w:szCs w:val="24"/>
                <w:vertAlign w:val="superscript"/>
              </w:rPr>
              <w:t>£</w:t>
            </w:r>
            <w:r>
              <w:rPr>
                <w:kern w:val="0"/>
                <w:sz w:val="24"/>
                <w:szCs w:val="24"/>
              </w:rPr>
              <w:t xml:space="preserve"> Almost all </w:t>
            </w:r>
            <w:r>
              <w:rPr>
                <w:iCs/>
                <w:kern w:val="0"/>
                <w:sz w:val="24"/>
                <w:szCs w:val="24"/>
              </w:rPr>
              <w:t xml:space="preserve">S.aureus </w:t>
            </w:r>
            <w:r>
              <w:rPr>
                <w:kern w:val="0"/>
                <w:sz w:val="24"/>
                <w:szCs w:val="24"/>
              </w:rPr>
              <w:t>are resistant to amoxicillin due to production of penicillinase. In addition, all methicillin-resistant strains are resistant to amoxicillin.</w:t>
            </w:r>
          </w:p>
        </w:tc>
      </w:tr>
    </w:tbl>
    <w:p>
      <w:pPr>
        <w:pStyle w:val="4"/>
        <w:spacing w:before="0" w:after="0"/>
        <w:rPr>
          <w:rFonts w:ascii="Times New Roman" w:hAnsi="Times New Roman" w:cs="Times New Roman"/>
        </w:rPr>
      </w:pPr>
      <w:r>
        <w:rPr>
          <w:rFonts w:ascii="Times New Roman" w:hAnsi="Times New Roman" w:cs="Times New Roman"/>
          <w:shd w:val="clear" w:color="auto" w:fill="FFFFFF"/>
        </w:rPr>
        <w:t xml:space="preserve"> </w:t>
      </w:r>
    </w:p>
    <w:p>
      <w:pPr>
        <w:jc w:val="left"/>
        <w:rPr>
          <w:sz w:val="24"/>
          <w:szCs w:val="24"/>
        </w:rPr>
      </w:pPr>
      <w:r>
        <w:rPr>
          <w:sz w:val="24"/>
          <w:szCs w:val="24"/>
        </w:rPr>
        <w:t>5.2 Pharmacokinetic properties</w:t>
      </w:r>
    </w:p>
    <w:p>
      <w:pPr>
        <w:widowControl/>
        <w:shd w:val="clear" w:color="auto" w:fill="FFFFFF"/>
        <w:jc w:val="left"/>
        <w:rPr>
          <w:kern w:val="0"/>
          <w:sz w:val="24"/>
          <w:szCs w:val="24"/>
        </w:rPr>
      </w:pPr>
      <w:r>
        <w:rPr>
          <w:kern w:val="0"/>
          <w:sz w:val="24"/>
          <w:szCs w:val="24"/>
        </w:rPr>
        <w:t>Oral</w:t>
      </w:r>
    </w:p>
    <w:p>
      <w:pPr>
        <w:widowControl/>
        <w:shd w:val="clear" w:color="auto" w:fill="FFFFFF"/>
        <w:jc w:val="left"/>
        <w:rPr>
          <w:kern w:val="0"/>
          <w:sz w:val="24"/>
          <w:szCs w:val="24"/>
        </w:rPr>
      </w:pPr>
      <w:r>
        <w:rPr>
          <w:kern w:val="0"/>
          <w:sz w:val="24"/>
          <w:szCs w:val="24"/>
        </w:rPr>
        <w:t>Absorption</w:t>
      </w:r>
    </w:p>
    <w:p>
      <w:pPr>
        <w:widowControl/>
        <w:shd w:val="clear" w:color="auto" w:fill="FFFFFF"/>
        <w:jc w:val="left"/>
        <w:rPr>
          <w:kern w:val="0"/>
          <w:sz w:val="24"/>
          <w:szCs w:val="24"/>
        </w:rPr>
      </w:pPr>
      <w:r>
        <w:rPr>
          <w:kern w:val="0"/>
          <w:sz w:val="24"/>
          <w:szCs w:val="24"/>
        </w:rPr>
        <w:t>Amoxicillin fully dissociates in aqueous solution at physiological pH. It is rapidly and well absorbed by the oral route of administration. Following oral administration, amoxicillin is approximately 70% bioavailable. The time to peak plasma concentration (T</w:t>
      </w:r>
      <w:r>
        <w:rPr>
          <w:kern w:val="0"/>
          <w:sz w:val="24"/>
          <w:szCs w:val="24"/>
          <w:vertAlign w:val="subscript"/>
        </w:rPr>
        <w:t>max</w:t>
      </w:r>
      <w:r>
        <w:rPr>
          <w:kern w:val="0"/>
          <w:sz w:val="24"/>
          <w:szCs w:val="24"/>
        </w:rPr>
        <w:t>) is approximately one hour.</w:t>
      </w:r>
    </w:p>
    <w:p>
      <w:pPr>
        <w:widowControl/>
        <w:shd w:val="clear" w:color="auto" w:fill="FFFFFF"/>
        <w:jc w:val="left"/>
        <w:rPr>
          <w:kern w:val="0"/>
          <w:sz w:val="24"/>
          <w:szCs w:val="24"/>
        </w:rPr>
      </w:pPr>
      <w:r>
        <w:rPr>
          <w:kern w:val="0"/>
          <w:sz w:val="24"/>
          <w:szCs w:val="24"/>
        </w:rPr>
        <w:t>The pharmacokinetic results for a study, in which an amoxicillin dose of 250 mg three times daily was administered in the fasting state to groups of healthy volunteers are presented below.</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2592"/>
        <w:gridCol w:w="2591"/>
        <w:gridCol w:w="2591"/>
        <w:gridCol w:w="18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30" w:type="dxa"/>
            <w:left w:w="30" w:type="dxa"/>
            <w:bottom w:w="30" w:type="dxa"/>
            <w:right w:w="30" w:type="dxa"/>
          </w:tblCellMar>
        </w:tblPrEx>
        <w:trPr>
          <w:jc w:val="center"/>
        </w:trPr>
        <w:tc>
          <w:tcPr>
            <w:tcW w:w="2592"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C</w:t>
            </w:r>
            <w:r>
              <w:rPr>
                <w:kern w:val="0"/>
                <w:sz w:val="24"/>
                <w:szCs w:val="24"/>
                <w:vertAlign w:val="subscript"/>
              </w:rPr>
              <w:t>max</w:t>
            </w:r>
          </w:p>
        </w:tc>
        <w:tc>
          <w:tcPr>
            <w:tcW w:w="259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T</w:t>
            </w:r>
            <w:r>
              <w:rPr>
                <w:kern w:val="0"/>
                <w:sz w:val="24"/>
                <w:szCs w:val="24"/>
                <w:vertAlign w:val="subscript"/>
              </w:rPr>
              <w:t>max</w:t>
            </w:r>
            <w:r>
              <w:rPr>
                <w:kern w:val="0"/>
                <w:sz w:val="24"/>
                <w:szCs w:val="24"/>
              </w:rPr>
              <w:t>*</w:t>
            </w:r>
          </w:p>
        </w:tc>
        <w:tc>
          <w:tcPr>
            <w:tcW w:w="259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 xml:space="preserve">AUC </w:t>
            </w:r>
            <w:r>
              <w:rPr>
                <w:kern w:val="0"/>
                <w:sz w:val="24"/>
                <w:szCs w:val="24"/>
                <w:vertAlign w:val="subscript"/>
              </w:rPr>
              <w:t>(0-24h)</w:t>
            </w:r>
          </w:p>
        </w:tc>
        <w:tc>
          <w:tcPr>
            <w:tcW w:w="185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T 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2592"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(μg/ml)</w:t>
            </w:r>
          </w:p>
        </w:tc>
        <w:tc>
          <w:tcPr>
            <w:tcW w:w="259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(h)</w:t>
            </w:r>
          </w:p>
        </w:tc>
        <w:tc>
          <w:tcPr>
            <w:tcW w:w="259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((μg.h/ml)</w:t>
            </w:r>
          </w:p>
        </w:tc>
        <w:tc>
          <w:tcPr>
            <w:tcW w:w="185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(h)</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PrEx>
        <w:trPr>
          <w:jc w:val="center"/>
        </w:trPr>
        <w:tc>
          <w:tcPr>
            <w:tcW w:w="2592"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3.3 ± 1.12</w:t>
            </w:r>
          </w:p>
        </w:tc>
        <w:tc>
          <w:tcPr>
            <w:tcW w:w="259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1.5 (1.0-2.0)</w:t>
            </w:r>
          </w:p>
        </w:tc>
        <w:tc>
          <w:tcPr>
            <w:tcW w:w="259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26.7 ± 4.56</w:t>
            </w:r>
          </w:p>
        </w:tc>
        <w:tc>
          <w:tcPr>
            <w:tcW w:w="1851" w:type="dxa"/>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1.36 ± 0.56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625" w:type="dxa"/>
            <w:gridSpan w:val="4"/>
            <w:tcBorders>
              <w:top w:val="outset" w:color="auto" w:sz="6" w:space="0"/>
              <w:left w:val="outset" w:color="auto" w:sz="6" w:space="0"/>
              <w:bottom w:val="outset" w:color="auto" w:sz="6" w:space="0"/>
              <w:right w:val="outset" w:color="auto" w:sz="6" w:space="0"/>
            </w:tcBorders>
            <w:shd w:val="clear" w:color="auto" w:fill="FFFFFF"/>
          </w:tcPr>
          <w:p>
            <w:pPr>
              <w:widowControl/>
              <w:jc w:val="left"/>
              <w:rPr>
                <w:kern w:val="0"/>
                <w:sz w:val="24"/>
                <w:szCs w:val="24"/>
              </w:rPr>
            </w:pPr>
            <w:r>
              <w:rPr>
                <w:kern w:val="0"/>
                <w:sz w:val="24"/>
                <w:szCs w:val="24"/>
              </w:rPr>
              <w:t>*Median (range)</w:t>
            </w:r>
          </w:p>
        </w:tc>
      </w:tr>
    </w:tbl>
    <w:p>
      <w:pPr>
        <w:widowControl/>
        <w:shd w:val="clear" w:color="auto" w:fill="FFFFFF"/>
        <w:jc w:val="left"/>
        <w:rPr>
          <w:kern w:val="0"/>
          <w:sz w:val="24"/>
          <w:szCs w:val="24"/>
        </w:rPr>
      </w:pPr>
      <w:r>
        <w:rPr>
          <w:kern w:val="0"/>
          <w:sz w:val="24"/>
          <w:szCs w:val="24"/>
        </w:rPr>
        <w:t>In the range 250 to 3000 mg the bioavailability is linear in proportion to dose (measured as C</w:t>
      </w:r>
      <w:r>
        <w:rPr>
          <w:kern w:val="0"/>
          <w:sz w:val="24"/>
          <w:szCs w:val="24"/>
          <w:vertAlign w:val="subscript"/>
        </w:rPr>
        <w:t xml:space="preserve">max </w:t>
      </w:r>
      <w:r>
        <w:rPr>
          <w:kern w:val="0"/>
          <w:sz w:val="24"/>
          <w:szCs w:val="24"/>
        </w:rPr>
        <w:t>and AUC). The absorption is not influenced by simultaneous food intake.</w:t>
      </w:r>
    </w:p>
    <w:p>
      <w:pPr>
        <w:widowControl/>
        <w:shd w:val="clear" w:color="auto" w:fill="FFFFFF"/>
        <w:jc w:val="left"/>
        <w:rPr>
          <w:kern w:val="0"/>
          <w:sz w:val="24"/>
          <w:szCs w:val="24"/>
        </w:rPr>
      </w:pPr>
      <w:r>
        <w:rPr>
          <w:kern w:val="0"/>
          <w:sz w:val="24"/>
          <w:szCs w:val="24"/>
        </w:rPr>
        <w:t>Haemodialysis can be used for elimination of amoxicillin.</w:t>
      </w:r>
    </w:p>
    <w:p>
      <w:pPr>
        <w:widowControl/>
        <w:shd w:val="clear" w:color="auto" w:fill="FFFFFF"/>
        <w:jc w:val="left"/>
        <w:rPr>
          <w:kern w:val="0"/>
          <w:sz w:val="24"/>
          <w:szCs w:val="24"/>
        </w:rPr>
      </w:pPr>
      <w:r>
        <w:rPr>
          <w:kern w:val="0"/>
          <w:sz w:val="24"/>
          <w:szCs w:val="24"/>
        </w:rPr>
        <w:t>Distribution</w:t>
      </w:r>
    </w:p>
    <w:p>
      <w:pPr>
        <w:widowControl/>
        <w:shd w:val="clear" w:color="auto" w:fill="FFFFFF"/>
        <w:jc w:val="left"/>
        <w:rPr>
          <w:kern w:val="0"/>
          <w:sz w:val="24"/>
          <w:szCs w:val="24"/>
        </w:rPr>
      </w:pPr>
      <w:r>
        <w:rPr>
          <w:kern w:val="0"/>
          <w:sz w:val="24"/>
          <w:szCs w:val="24"/>
        </w:rPr>
        <w:t>About 18% of total plasma amoxicillin is bound to protein and the apparent volume of distribution is around 0.3 to 0.4 l/kg.</w:t>
      </w:r>
    </w:p>
    <w:p>
      <w:pPr>
        <w:widowControl/>
        <w:shd w:val="clear" w:color="auto" w:fill="FFFFFF"/>
        <w:jc w:val="left"/>
        <w:rPr>
          <w:kern w:val="0"/>
          <w:sz w:val="24"/>
          <w:szCs w:val="24"/>
        </w:rPr>
      </w:pPr>
      <w:r>
        <w:rPr>
          <w:kern w:val="0"/>
          <w:sz w:val="24"/>
          <w:szCs w:val="24"/>
        </w:rPr>
        <w:t>Following intravenous administration, amoxicillin has been found in gall bladder, abdominal tissue, skin, fat, muscle tissues, synovial and peritoneal fluids, bile and pus. Amoxicillin does not adequately distribute into the cerebrospinal fluid.</w:t>
      </w:r>
    </w:p>
    <w:p>
      <w:pPr>
        <w:widowControl/>
        <w:shd w:val="clear" w:color="auto" w:fill="FFFFFF"/>
        <w:jc w:val="left"/>
        <w:rPr>
          <w:kern w:val="0"/>
          <w:sz w:val="24"/>
          <w:szCs w:val="24"/>
        </w:rPr>
      </w:pPr>
      <w:r>
        <w:rPr>
          <w:kern w:val="0"/>
          <w:sz w:val="24"/>
          <w:szCs w:val="24"/>
        </w:rPr>
        <w:t>From animal studies there is no evidence for significant tissue retention of drug-derived material. Amoxicillin, like most penicillins, can be detected in breast milk (see section 4.6).</w:t>
      </w:r>
    </w:p>
    <w:p>
      <w:pPr>
        <w:widowControl/>
        <w:shd w:val="clear" w:color="auto" w:fill="FFFFFF"/>
        <w:jc w:val="left"/>
        <w:rPr>
          <w:kern w:val="0"/>
          <w:sz w:val="24"/>
          <w:szCs w:val="24"/>
        </w:rPr>
      </w:pPr>
      <w:r>
        <w:rPr>
          <w:kern w:val="0"/>
          <w:sz w:val="24"/>
          <w:szCs w:val="24"/>
        </w:rPr>
        <w:t>Amoxicillin has been shown to cross the placental barrier (see section 4.6).</w:t>
      </w:r>
    </w:p>
    <w:p>
      <w:pPr>
        <w:widowControl/>
        <w:shd w:val="clear" w:color="auto" w:fill="FFFFFF"/>
        <w:jc w:val="left"/>
        <w:rPr>
          <w:kern w:val="0"/>
          <w:sz w:val="24"/>
          <w:szCs w:val="24"/>
        </w:rPr>
      </w:pPr>
      <w:r>
        <w:rPr>
          <w:kern w:val="0"/>
          <w:sz w:val="24"/>
          <w:szCs w:val="24"/>
        </w:rPr>
        <w:t>Biotransformation</w:t>
      </w:r>
    </w:p>
    <w:p>
      <w:pPr>
        <w:widowControl/>
        <w:shd w:val="clear" w:color="auto" w:fill="FFFFFF"/>
        <w:jc w:val="left"/>
        <w:rPr>
          <w:kern w:val="0"/>
          <w:sz w:val="24"/>
          <w:szCs w:val="24"/>
        </w:rPr>
      </w:pPr>
      <w:r>
        <w:rPr>
          <w:kern w:val="0"/>
          <w:sz w:val="24"/>
          <w:szCs w:val="24"/>
        </w:rPr>
        <w:t>Amoxicillin is partly excreted in the urine as the inactive penicilloic acid in quantities equivalent to up to 10 to 25% of the initial dose.</w:t>
      </w:r>
    </w:p>
    <w:p>
      <w:pPr>
        <w:widowControl/>
        <w:shd w:val="clear" w:color="auto" w:fill="FFFFFF"/>
        <w:jc w:val="left"/>
        <w:rPr>
          <w:kern w:val="0"/>
          <w:sz w:val="24"/>
          <w:szCs w:val="24"/>
        </w:rPr>
      </w:pPr>
      <w:r>
        <w:rPr>
          <w:kern w:val="0"/>
          <w:sz w:val="24"/>
          <w:szCs w:val="24"/>
        </w:rPr>
        <w:t>Elimination</w:t>
      </w:r>
    </w:p>
    <w:p>
      <w:pPr>
        <w:widowControl/>
        <w:shd w:val="clear" w:color="auto" w:fill="FFFFFF"/>
        <w:jc w:val="left"/>
        <w:rPr>
          <w:kern w:val="0"/>
          <w:sz w:val="24"/>
          <w:szCs w:val="24"/>
        </w:rPr>
      </w:pPr>
      <w:r>
        <w:rPr>
          <w:kern w:val="0"/>
          <w:sz w:val="24"/>
          <w:szCs w:val="24"/>
        </w:rPr>
        <w:t>The major route of elimination for amoxicillin is via the kidney.</w:t>
      </w:r>
    </w:p>
    <w:p>
      <w:pPr>
        <w:widowControl/>
        <w:shd w:val="clear" w:color="auto" w:fill="FFFFFF"/>
        <w:jc w:val="left"/>
        <w:rPr>
          <w:kern w:val="0"/>
          <w:sz w:val="24"/>
          <w:szCs w:val="24"/>
        </w:rPr>
      </w:pPr>
      <w:r>
        <w:rPr>
          <w:kern w:val="0"/>
          <w:sz w:val="24"/>
          <w:szCs w:val="24"/>
        </w:rPr>
        <w:t>Amoxicillin has a mean elimination half-life of approximately one hour and a mean total clearance of approximately 25 l/hour in healthy subjects. Approximately 60 to 70% of the amoxicillin is excreted unchanged in urine during the first 6 hours after administration of a single 250 mg or 500 mg dose of amoxicillin. Various studies have found the urinary excretion to be 50-85% for amoxicillin over a 24 hour period.</w:t>
      </w:r>
    </w:p>
    <w:p>
      <w:pPr>
        <w:widowControl/>
        <w:shd w:val="clear" w:color="auto" w:fill="FFFFFF"/>
        <w:jc w:val="left"/>
        <w:rPr>
          <w:kern w:val="0"/>
          <w:sz w:val="24"/>
          <w:szCs w:val="24"/>
        </w:rPr>
      </w:pPr>
      <w:r>
        <w:rPr>
          <w:kern w:val="0"/>
          <w:sz w:val="24"/>
          <w:szCs w:val="24"/>
        </w:rPr>
        <w:t>Concomitant use of probenecid delays amoxicillin excretion (see section 4.5).</w:t>
      </w:r>
    </w:p>
    <w:p>
      <w:pPr>
        <w:widowControl/>
        <w:shd w:val="clear" w:color="auto" w:fill="FFFFFF"/>
        <w:jc w:val="left"/>
        <w:rPr>
          <w:kern w:val="0"/>
          <w:sz w:val="24"/>
          <w:szCs w:val="24"/>
        </w:rPr>
      </w:pPr>
      <w:r>
        <w:rPr>
          <w:kern w:val="0"/>
          <w:sz w:val="24"/>
          <w:szCs w:val="24"/>
        </w:rPr>
        <w:t>Age</w:t>
      </w:r>
    </w:p>
    <w:p>
      <w:pPr>
        <w:widowControl/>
        <w:shd w:val="clear" w:color="auto" w:fill="FFFFFF"/>
        <w:jc w:val="left"/>
        <w:rPr>
          <w:kern w:val="0"/>
          <w:sz w:val="24"/>
          <w:szCs w:val="24"/>
        </w:rPr>
      </w:pPr>
      <w:r>
        <w:rPr>
          <w:kern w:val="0"/>
          <w:sz w:val="24"/>
          <w:szCs w:val="24"/>
        </w:rPr>
        <w:t>The elimination half-life of amoxicillin is similar for children aged around 3 months to 2 years and older children and adults. For very young children (including preterm newborns) in the first week of life the interval of administration should not exceed twice daily administration due to immaturity of the renal pathway of elimination. Because elderly patients are more likely to have decreased renal function, care should be taken in dose selection, and it may be useful to monitor renal function.</w:t>
      </w:r>
    </w:p>
    <w:p>
      <w:pPr>
        <w:widowControl/>
        <w:shd w:val="clear" w:color="auto" w:fill="FFFFFF"/>
        <w:jc w:val="left"/>
        <w:rPr>
          <w:kern w:val="0"/>
          <w:sz w:val="24"/>
          <w:szCs w:val="24"/>
        </w:rPr>
      </w:pPr>
      <w:r>
        <w:rPr>
          <w:kern w:val="0"/>
          <w:sz w:val="24"/>
          <w:szCs w:val="24"/>
        </w:rPr>
        <w:t>Gender</w:t>
      </w:r>
    </w:p>
    <w:p>
      <w:pPr>
        <w:widowControl/>
        <w:shd w:val="clear" w:color="auto" w:fill="FFFFFF"/>
        <w:jc w:val="left"/>
        <w:rPr>
          <w:kern w:val="0"/>
          <w:sz w:val="24"/>
          <w:szCs w:val="24"/>
        </w:rPr>
      </w:pPr>
      <w:r>
        <w:rPr>
          <w:kern w:val="0"/>
          <w:sz w:val="24"/>
          <w:szCs w:val="24"/>
        </w:rPr>
        <w:t>Following oral administration of amoxicillin/ to healthy males and female subjects, gender has no significant impact on the pharmacokinetics of amoxicillin.</w:t>
      </w:r>
    </w:p>
    <w:p>
      <w:pPr>
        <w:widowControl/>
        <w:shd w:val="clear" w:color="auto" w:fill="FFFFFF"/>
        <w:jc w:val="left"/>
        <w:rPr>
          <w:kern w:val="0"/>
          <w:sz w:val="24"/>
          <w:szCs w:val="24"/>
        </w:rPr>
      </w:pPr>
      <w:r>
        <w:rPr>
          <w:kern w:val="0"/>
          <w:sz w:val="24"/>
          <w:szCs w:val="24"/>
        </w:rPr>
        <w:t>Renal impairment</w:t>
      </w:r>
    </w:p>
    <w:p>
      <w:pPr>
        <w:widowControl/>
        <w:shd w:val="clear" w:color="auto" w:fill="FFFFFF"/>
        <w:jc w:val="left"/>
        <w:rPr>
          <w:kern w:val="0"/>
          <w:sz w:val="24"/>
          <w:szCs w:val="24"/>
        </w:rPr>
      </w:pPr>
      <w:r>
        <w:rPr>
          <w:kern w:val="0"/>
          <w:sz w:val="24"/>
          <w:szCs w:val="24"/>
        </w:rPr>
        <w:t>The total serum clearance of amoxicillin decreases proportionately with decreasing renal function (see sections 4.2 and 4.4).</w:t>
      </w:r>
    </w:p>
    <w:p>
      <w:pPr>
        <w:widowControl/>
        <w:shd w:val="clear" w:color="auto" w:fill="FFFFFF"/>
        <w:jc w:val="left"/>
        <w:rPr>
          <w:kern w:val="0"/>
          <w:sz w:val="24"/>
          <w:szCs w:val="24"/>
        </w:rPr>
      </w:pPr>
      <w:r>
        <w:rPr>
          <w:kern w:val="0"/>
          <w:sz w:val="24"/>
          <w:szCs w:val="24"/>
        </w:rPr>
        <w:t>Hepatic impairment</w:t>
      </w:r>
    </w:p>
    <w:p>
      <w:pPr>
        <w:widowControl/>
        <w:shd w:val="clear" w:color="auto" w:fill="FFFFFF"/>
        <w:jc w:val="left"/>
        <w:rPr>
          <w:sz w:val="24"/>
          <w:szCs w:val="24"/>
        </w:rPr>
      </w:pPr>
      <w:r>
        <w:rPr>
          <w:kern w:val="0"/>
          <w:sz w:val="24"/>
          <w:szCs w:val="24"/>
        </w:rPr>
        <w:t>Hepatically impaired patients should be dosed with caution and hepatic function monitored at regular intervals.</w:t>
      </w:r>
    </w:p>
    <w:p>
      <w:pPr>
        <w:jc w:val="left"/>
        <w:rPr>
          <w:sz w:val="24"/>
          <w:szCs w:val="24"/>
        </w:rPr>
      </w:pPr>
      <w:r>
        <w:rPr>
          <w:sz w:val="24"/>
          <w:szCs w:val="24"/>
        </w:rPr>
        <w:t>5.3 Preclinical safety data</w:t>
      </w:r>
    </w:p>
    <w:p>
      <w:pPr>
        <w:pStyle w:val="4"/>
        <w:shd w:val="clear" w:color="auto" w:fill="FFFFFF"/>
        <w:spacing w:before="0" w:after="0"/>
        <w:rPr>
          <w:rFonts w:ascii="Times New Roman" w:hAnsi="Times New Roman" w:cs="Times New Roman"/>
        </w:rPr>
      </w:pPr>
      <w:r>
        <w:rPr>
          <w:rFonts w:ascii="Times New Roman" w:hAnsi="Times New Roman" w:cs="Times New Roman"/>
        </w:rPr>
        <w:t>Non-clinical data reveal no special hazard for humans based on studies of safety pharmacology, repeated dose toxicity, genotoxicity and toxicity to reproduction and development.</w:t>
      </w:r>
    </w:p>
    <w:p>
      <w:pPr>
        <w:pStyle w:val="4"/>
        <w:shd w:val="clear" w:color="auto" w:fill="FFFFFF"/>
        <w:spacing w:before="0" w:after="0"/>
        <w:rPr>
          <w:rFonts w:ascii="Times New Roman" w:hAnsi="Times New Roman" w:cs="Times New Roman"/>
        </w:rPr>
      </w:pPr>
      <w:r>
        <w:rPr>
          <w:rFonts w:ascii="Times New Roman" w:hAnsi="Times New Roman" w:cs="Times New Roman"/>
        </w:rPr>
        <w:t>Carcinogenicity studies have not been conducted with amoxicillin</w:t>
      </w:r>
    </w:p>
    <w:p>
      <w:pPr>
        <w:jc w:val="left"/>
        <w:rPr>
          <w:sz w:val="24"/>
          <w:szCs w:val="24"/>
        </w:rPr>
      </w:pPr>
      <w:r>
        <w:rPr>
          <w:sz w:val="24"/>
          <w:szCs w:val="24"/>
        </w:rPr>
        <w:t>6. Pharmaceutical particulars</w:t>
      </w:r>
    </w:p>
    <w:p>
      <w:pPr>
        <w:jc w:val="left"/>
        <w:rPr>
          <w:sz w:val="24"/>
          <w:szCs w:val="24"/>
        </w:rPr>
      </w:pPr>
      <w:r>
        <w:rPr>
          <w:sz w:val="24"/>
          <w:szCs w:val="24"/>
        </w:rPr>
        <w:t>6.1 List of excipients</w:t>
      </w:r>
    </w:p>
    <w:p>
      <w:pPr>
        <w:jc w:val="left"/>
        <w:rPr>
          <w:sz w:val="24"/>
          <w:szCs w:val="24"/>
        </w:rPr>
      </w:pPr>
      <w:r>
        <w:rPr>
          <w:sz w:val="24"/>
          <w:szCs w:val="24"/>
        </w:rPr>
        <w:t>Each capsule contains:</w:t>
      </w:r>
    </w:p>
    <w:p>
      <w:pPr>
        <w:jc w:val="left"/>
        <w:rPr>
          <w:sz w:val="24"/>
          <w:szCs w:val="24"/>
        </w:rPr>
      </w:pPr>
      <w:r>
        <w:rPr>
          <w:sz w:val="24"/>
          <w:szCs w:val="24"/>
        </w:rPr>
        <w:t>magnesium stearate</w:t>
      </w:r>
    </w:p>
    <w:p>
      <w:pPr>
        <w:jc w:val="left"/>
        <w:rPr>
          <w:sz w:val="24"/>
          <w:szCs w:val="24"/>
        </w:rPr>
      </w:pPr>
      <w:r>
        <w:rPr>
          <w:sz w:val="24"/>
          <w:szCs w:val="24"/>
        </w:rPr>
        <w:t xml:space="preserve">Talc </w:t>
      </w:r>
    </w:p>
    <w:p>
      <w:pPr>
        <w:jc w:val="left"/>
        <w:rPr>
          <w:sz w:val="24"/>
          <w:szCs w:val="24"/>
        </w:rPr>
      </w:pPr>
      <w:r>
        <w:rPr>
          <w:sz w:val="24"/>
          <w:szCs w:val="24"/>
        </w:rPr>
        <w:t>6.2 Incompatibilities</w:t>
      </w:r>
    </w:p>
    <w:p>
      <w:pPr>
        <w:jc w:val="left"/>
        <w:rPr>
          <w:sz w:val="24"/>
          <w:szCs w:val="24"/>
        </w:rPr>
      </w:pPr>
      <w:r>
        <w:rPr>
          <w:sz w:val="24"/>
          <w:szCs w:val="24"/>
          <w:shd w:val="clear" w:color="auto" w:fill="FFFFFF"/>
        </w:rPr>
        <w:t>Not applicable</w:t>
      </w:r>
      <w:r>
        <w:rPr>
          <w:sz w:val="24"/>
          <w:szCs w:val="24"/>
        </w:rPr>
        <w:t xml:space="preserve"> </w:t>
      </w:r>
    </w:p>
    <w:p>
      <w:pPr>
        <w:jc w:val="left"/>
        <w:rPr>
          <w:sz w:val="24"/>
          <w:szCs w:val="24"/>
        </w:rPr>
      </w:pPr>
      <w:r>
        <w:rPr>
          <w:sz w:val="24"/>
          <w:szCs w:val="24"/>
        </w:rPr>
        <w:t>6.3 Shelf life</w:t>
      </w:r>
    </w:p>
    <w:p>
      <w:pPr>
        <w:jc w:val="left"/>
        <w:rPr>
          <w:sz w:val="24"/>
          <w:szCs w:val="24"/>
        </w:rPr>
      </w:pPr>
      <w:r>
        <w:rPr>
          <w:sz w:val="24"/>
          <w:szCs w:val="24"/>
          <w:shd w:val="clear" w:color="auto" w:fill="FFFFFF"/>
        </w:rPr>
        <w:t>36 months.</w:t>
      </w:r>
      <w:r>
        <w:rPr>
          <w:sz w:val="24"/>
          <w:szCs w:val="24"/>
        </w:rPr>
        <w:t xml:space="preserve"> </w:t>
      </w:r>
    </w:p>
    <w:p>
      <w:pPr>
        <w:jc w:val="left"/>
        <w:rPr>
          <w:sz w:val="24"/>
          <w:szCs w:val="24"/>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00" w:lineRule="exact"/>
      <w:jc w:val="left"/>
      <w:rPr>
        <w:w w:val="93"/>
        <w:sz w:val="24"/>
        <w:szCs w:val="24"/>
      </w:rPr>
    </w:pPr>
    <w:r>
      <w:rPr>
        <w:w w:val="93"/>
        <w:sz w:val="24"/>
        <w:szCs w:val="24"/>
      </w:rPr>
      <w:t>ADD: No.</w:t>
    </w:r>
    <w:r>
      <w:rPr>
        <w:rFonts w:hint="eastAsia"/>
        <w:w w:val="93"/>
        <w:sz w:val="24"/>
        <w:szCs w:val="24"/>
      </w:rPr>
      <w:t>1</w:t>
    </w:r>
    <w:r>
      <w:rPr>
        <w:w w:val="93"/>
        <w:sz w:val="24"/>
        <w:szCs w:val="24"/>
      </w:rPr>
      <w:t xml:space="preserve"> </w:t>
    </w:r>
    <w:r>
      <w:rPr>
        <w:rFonts w:hint="eastAsia"/>
        <w:w w:val="93"/>
        <w:sz w:val="24"/>
        <w:szCs w:val="24"/>
      </w:rPr>
      <w:t>Ruiyang</w:t>
    </w:r>
    <w:r>
      <w:rPr>
        <w:w w:val="93"/>
        <w:sz w:val="24"/>
        <w:szCs w:val="24"/>
      </w:rPr>
      <w:t xml:space="preserve"> Road, Yiyuan County, Shandong Province, P.R. China.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宋体" w:hAnsi="宋体" w:cs="宋体"/>
        <w:b/>
        <w:bCs/>
        <w:sz w:val="30"/>
        <w:szCs w:val="30"/>
        <w:u w:val="single"/>
      </w:rPr>
    </w:pPr>
    <w:r>
      <w:rPr>
        <w:rFonts w:ascii="宋体" w:hAnsi="宋体" w:cs="宋体"/>
        <w:b/>
        <w:bCs/>
        <w:w w:val="92"/>
        <w:sz w:val="32"/>
        <w:szCs w:val="32"/>
        <w:u w:val="single"/>
      </w:rPr>
      <w:drawing>
        <wp:anchor distT="0" distB="0" distL="114300" distR="114300" simplePos="0" relativeHeight="251659264" behindDoc="0" locked="0" layoutInCell="1" allowOverlap="1">
          <wp:simplePos x="0" y="0"/>
          <wp:positionH relativeFrom="column">
            <wp:posOffset>169545</wp:posOffset>
          </wp:positionH>
          <wp:positionV relativeFrom="paragraph">
            <wp:posOffset>-8255</wp:posOffset>
          </wp:positionV>
          <wp:extent cx="649605" cy="537845"/>
          <wp:effectExtent l="0" t="0" r="17145" b="1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649605" cy="537845"/>
                  </a:xfrm>
                  <a:prstGeom prst="rect">
                    <a:avLst/>
                  </a:prstGeom>
                  <a:noFill/>
                  <a:ln>
                    <a:noFill/>
                  </a:ln>
                </pic:spPr>
              </pic:pic>
            </a:graphicData>
          </a:graphic>
        </wp:anchor>
      </w:drawing>
    </w:r>
    <w:r>
      <w:rPr>
        <w:rFonts w:hint="eastAsia" w:ascii="宋体" w:hAnsi="宋体" w:cs="宋体"/>
        <w:b/>
        <w:bCs/>
        <w:sz w:val="30"/>
        <w:szCs w:val="30"/>
        <w:u w:val="single"/>
      </w:rPr>
      <w:t>瑞  阳  制  药  有  限  公  司</w:t>
    </w:r>
  </w:p>
  <w:p>
    <w:pPr>
      <w:pStyle w:val="3"/>
      <w:pBdr>
        <w:bottom w:val="none" w:color="auto" w:sz="0" w:space="0"/>
      </w:pBdr>
      <w:rPr>
        <w:rFonts w:ascii="Times New Roman" w:hAnsi="Times New Roman" w:cs="Times New Roman"/>
      </w:rPr>
    </w:pPr>
    <w:r>
      <w:rPr>
        <w:rFonts w:ascii="Times New Roman" w:hAnsi="Times New Roman" w:cs="Times New Roman"/>
        <w:b/>
        <w:sz w:val="32"/>
        <w:szCs w:val="32"/>
      </w:rPr>
      <w:t>Reyoung Pharmaceutical Co., Ltd.</w:t>
    </w:r>
  </w:p>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34"/>
    <w:rsid w:val="00015CF0"/>
    <w:rsid w:val="00064F7A"/>
    <w:rsid w:val="00251D34"/>
    <w:rsid w:val="002A7193"/>
    <w:rsid w:val="003C084E"/>
    <w:rsid w:val="005A6FA2"/>
    <w:rsid w:val="0072447B"/>
    <w:rsid w:val="00777229"/>
    <w:rsid w:val="007B2482"/>
    <w:rsid w:val="00815874"/>
    <w:rsid w:val="008F6EA7"/>
    <w:rsid w:val="009647E3"/>
    <w:rsid w:val="00A3787C"/>
    <w:rsid w:val="00FC3567"/>
    <w:rsid w:val="4763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after="100"/>
      <w:jc w:val="left"/>
    </w:pPr>
    <w:rPr>
      <w:rFonts w:ascii="Arial Unicode MS" w:hAnsi="Arial Unicode MS" w:eastAsia="Times New Roman" w:cs="Arial Unicode MS"/>
      <w:kern w:val="0"/>
      <w:sz w:val="24"/>
      <w:szCs w:val="24"/>
      <w:lang w:eastAsia="en-US"/>
    </w:rPr>
  </w:style>
  <w:style w:type="character" w:styleId="7">
    <w:name w:val="Hyperlink"/>
    <w:basedOn w:val="6"/>
    <w:qFormat/>
    <w:uiPriority w:val="0"/>
    <w:rPr>
      <w:color w:val="42554F"/>
      <w:u w:val="single"/>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3687</Words>
  <Characters>21018</Characters>
  <Lines>175</Lines>
  <Paragraphs>49</Paragraphs>
  <TotalTime>8</TotalTime>
  <ScaleCrop>false</ScaleCrop>
  <LinksUpToDate>false</LinksUpToDate>
  <CharactersWithSpaces>24656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2019-05-18T09:45:00Z</dcterms:created>
  <dc:creator>admin</dc:creator>
  <cp:lastModifiedBy>Lilly^.^SJ</cp:lastModifiedBy>
  <dcterms:modified xsi:type="dcterms:W3CDTF">2021-05-21T02:28:16Z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622D18A0D90341138FB056FDDACDB971</vt:lpwstr>
  </property>
</Properties>
</file>